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10" w:type="dxa"/>
        <w:tblBorders>
          <w:left w:val="single" w:sz="8" w:space="0" w:color="auto"/>
          <w:right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33"/>
        <w:gridCol w:w="7134"/>
      </w:tblGrid>
      <w:tr w:rsidR="004E39D6" w:rsidRPr="004E39D6" w14:paraId="30B746F7" w14:textId="77777777" w:rsidTr="004E39D6"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290BB4" w14:textId="7363FBE6" w:rsidR="004E39D6" w:rsidRPr="004E39D6" w:rsidRDefault="004E39D6" w:rsidP="004E39D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E39D6">
              <w:rPr>
                <w:b/>
                <w:bCs/>
                <w:lang w:val="en-US"/>
              </w:rPr>
              <w:t>Criticità</w:t>
            </w:r>
            <w:proofErr w:type="spellEnd"/>
            <w:r w:rsidR="004A0B0B">
              <w:rPr>
                <w:b/>
                <w:bCs/>
                <w:lang w:val="en-US"/>
              </w:rPr>
              <w:t xml:space="preserve"> </w:t>
            </w:r>
            <w:proofErr w:type="spellStart"/>
            <w:r w:rsidR="004A0B0B">
              <w:rPr>
                <w:b/>
                <w:bCs/>
                <w:lang w:val="en-US"/>
              </w:rPr>
              <w:t>della</w:t>
            </w:r>
            <w:proofErr w:type="spellEnd"/>
            <w:r w:rsidR="004A0B0B">
              <w:rPr>
                <w:b/>
                <w:bCs/>
                <w:lang w:val="en-US"/>
              </w:rPr>
              <w:t xml:space="preserve"> </w:t>
            </w:r>
            <w:proofErr w:type="spellStart"/>
            <w:r w:rsidR="004A0B0B">
              <w:rPr>
                <w:b/>
                <w:bCs/>
                <w:lang w:val="en-US"/>
              </w:rPr>
              <w:t>bozza</w:t>
            </w:r>
            <w:proofErr w:type="spellEnd"/>
            <w:r w:rsidR="004A0B0B">
              <w:rPr>
                <w:b/>
                <w:bCs/>
                <w:lang w:val="en-US"/>
              </w:rPr>
              <w:t xml:space="preserve"> di O.M.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B2B42F" w14:textId="08307D9F" w:rsidR="004E39D6" w:rsidRPr="004E39D6" w:rsidRDefault="004E39D6" w:rsidP="004E39D6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Soluzioni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4A0B0B">
              <w:rPr>
                <w:b/>
                <w:bCs/>
                <w:lang w:val="en-US"/>
              </w:rPr>
              <w:t>migliorative</w:t>
            </w:r>
            <w:proofErr w:type="spellEnd"/>
            <w:r w:rsidR="004A0B0B">
              <w:rPr>
                <w:b/>
                <w:bCs/>
                <w:lang w:val="en-US"/>
              </w:rPr>
              <w:t xml:space="preserve"> </w:t>
            </w:r>
            <w:proofErr w:type="spellStart"/>
            <w:r w:rsidR="004A0B0B">
              <w:rPr>
                <w:b/>
                <w:bCs/>
                <w:lang w:val="en-US"/>
              </w:rPr>
              <w:t>ottenut</w:t>
            </w:r>
            <w:r>
              <w:rPr>
                <w:b/>
                <w:bCs/>
                <w:lang w:val="en-US"/>
              </w:rPr>
              <w:t>e</w:t>
            </w:r>
            <w:proofErr w:type="spellEnd"/>
          </w:p>
        </w:tc>
      </w:tr>
      <w:tr w:rsidR="004E39D6" w:rsidRPr="004E39D6" w14:paraId="6880D228" w14:textId="77777777" w:rsidTr="004E39D6"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207E2" w14:textId="6F64D7D7" w:rsidR="004E39D6" w:rsidRPr="004E39D6" w:rsidRDefault="004E39D6" w:rsidP="004E39D6">
            <w:pPr>
              <w:rPr>
                <w:lang w:val="en-US"/>
              </w:rPr>
            </w:pPr>
            <w:r w:rsidRPr="004E39D6">
              <w:rPr>
                <w:lang w:val="en-US"/>
              </w:rPr>
              <w:t xml:space="preserve">Il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veniva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valutato</w:t>
            </w:r>
            <w:proofErr w:type="spellEnd"/>
            <w:r w:rsidRPr="004E39D6">
              <w:rPr>
                <w:lang w:val="en-US"/>
              </w:rPr>
              <w:t xml:space="preserve"> una sola </w:t>
            </w:r>
            <w:proofErr w:type="spellStart"/>
            <w:r w:rsidRPr="004E39D6">
              <w:rPr>
                <w:lang w:val="en-US"/>
              </w:rPr>
              <w:t>volta</w:t>
            </w:r>
            <w:proofErr w:type="spellEnd"/>
            <w:r w:rsidR="004A0B0B">
              <w:rPr>
                <w:lang w:val="en-US"/>
              </w:rPr>
              <w:t xml:space="preserve">, </w:t>
            </w:r>
            <w:r w:rsidRPr="004E39D6">
              <w:rPr>
                <w:lang w:val="en-US"/>
              </w:rPr>
              <w:t xml:space="preserve">come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o non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; </w:t>
            </w:r>
            <w:proofErr w:type="spellStart"/>
            <w:r w:rsidRPr="004E39D6">
              <w:rPr>
                <w:lang w:val="en-US"/>
              </w:rPr>
              <w:t>il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infanzia</w:t>
            </w:r>
            <w:proofErr w:type="spellEnd"/>
            <w:r w:rsidRPr="004E39D6">
              <w:rPr>
                <w:lang w:val="en-US"/>
              </w:rPr>
              <w:t xml:space="preserve"> e </w:t>
            </w:r>
            <w:proofErr w:type="spellStart"/>
            <w:r w:rsidRPr="004E39D6">
              <w:rPr>
                <w:lang w:val="en-US"/>
              </w:rPr>
              <w:t>primaria</w:t>
            </w:r>
            <w:proofErr w:type="spellEnd"/>
            <w:r w:rsidRPr="004E39D6">
              <w:rPr>
                <w:lang w:val="en-US"/>
              </w:rPr>
              <w:t xml:space="preserve"> non era </w:t>
            </w:r>
            <w:proofErr w:type="spellStart"/>
            <w:r w:rsidRPr="004E39D6">
              <w:rPr>
                <w:lang w:val="en-US"/>
              </w:rPr>
              <w:t>dichiarabile</w:t>
            </w:r>
            <w:proofErr w:type="spellEnd"/>
            <w:r w:rsidRPr="004E39D6">
              <w:rPr>
                <w:lang w:val="en-US"/>
              </w:rPr>
              <w:t xml:space="preserve"> per la </w:t>
            </w:r>
            <w:proofErr w:type="spellStart"/>
            <w:r w:rsidRPr="004E39D6">
              <w:rPr>
                <w:lang w:val="en-US"/>
              </w:rPr>
              <w:t>secondaria</w:t>
            </w:r>
            <w:proofErr w:type="spellEnd"/>
            <w:r w:rsidRPr="004E39D6">
              <w:rPr>
                <w:lang w:val="en-US"/>
              </w:rPr>
              <w:t xml:space="preserve"> e </w:t>
            </w:r>
            <w:proofErr w:type="spellStart"/>
            <w:r w:rsidRPr="004E39D6">
              <w:rPr>
                <w:lang w:val="en-US"/>
              </w:rPr>
              <w:t>viceversa</w:t>
            </w:r>
            <w:proofErr w:type="spellEnd"/>
            <w:r w:rsidRPr="004E39D6">
              <w:rPr>
                <w:lang w:val="en-US"/>
              </w:rPr>
              <w:t xml:space="preserve">. </w:t>
            </w:r>
          </w:p>
          <w:p w14:paraId="39F51396" w14:textId="30EAC363" w:rsidR="004E39D6" w:rsidRPr="004E39D6" w:rsidRDefault="004E39D6" w:rsidP="004A0B0B">
            <w:pPr>
              <w:rPr>
                <w:lang w:val="en-US"/>
              </w:rPr>
            </w:pPr>
            <w:r w:rsidRPr="004E39D6">
              <w:rPr>
                <w:lang w:val="en-US"/>
              </w:rPr>
              <w:t xml:space="preserve">In </w:t>
            </w:r>
            <w:proofErr w:type="spellStart"/>
            <w:r w:rsidRPr="004E39D6">
              <w:rPr>
                <w:lang w:val="en-US"/>
              </w:rPr>
              <w:t>sostanza</w:t>
            </w:r>
            <w:proofErr w:type="spellEnd"/>
            <w:r w:rsidRPr="004E39D6">
              <w:rPr>
                <w:lang w:val="en-US"/>
              </w:rPr>
              <w:t xml:space="preserve"> le </w:t>
            </w:r>
            <w:proofErr w:type="spellStart"/>
            <w:r w:rsidRPr="004E39D6">
              <w:rPr>
                <w:lang w:val="en-US"/>
              </w:rPr>
              <w:t>regole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oggi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vigenti</w:t>
            </w:r>
            <w:proofErr w:type="spellEnd"/>
            <w:r w:rsidRPr="004E39D6">
              <w:rPr>
                <w:lang w:val="en-US"/>
              </w:rPr>
              <w:t xml:space="preserve"> per </w:t>
            </w:r>
            <w:proofErr w:type="spellStart"/>
            <w:r w:rsidRPr="004E39D6">
              <w:rPr>
                <w:lang w:val="en-US"/>
              </w:rPr>
              <w:t>l</w:t>
            </w:r>
            <w:r w:rsidR="004A0B0B">
              <w:rPr>
                <w:lang w:val="en-US"/>
              </w:rPr>
              <w:t>’</w:t>
            </w:r>
            <w:r w:rsidRPr="004E39D6">
              <w:rPr>
                <w:lang w:val="en-US"/>
              </w:rPr>
              <w:t>attuale</w:t>
            </w:r>
            <w:proofErr w:type="spellEnd"/>
            <w:r w:rsidRPr="004E39D6">
              <w:rPr>
                <w:lang w:val="en-US"/>
              </w:rPr>
              <w:t xml:space="preserve"> II fascia </w:t>
            </w:r>
            <w:proofErr w:type="spellStart"/>
            <w:r w:rsidRPr="004E39D6">
              <w:rPr>
                <w:lang w:val="en-US"/>
              </w:rPr>
              <w:t>venivano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estese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anche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alla</w:t>
            </w:r>
            <w:proofErr w:type="spellEnd"/>
            <w:r w:rsidRPr="004E39D6">
              <w:rPr>
                <w:lang w:val="en-US"/>
              </w:rPr>
              <w:t xml:space="preserve"> III fascia </w:t>
            </w:r>
            <w:proofErr w:type="spellStart"/>
            <w:r w:rsidRPr="004E39D6">
              <w:rPr>
                <w:lang w:val="en-US"/>
              </w:rPr>
              <w:t>che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trasforma</w:t>
            </w:r>
            <w:proofErr w:type="spellEnd"/>
            <w:r w:rsidRPr="004E39D6">
              <w:rPr>
                <w:lang w:val="en-US"/>
              </w:rPr>
              <w:t xml:space="preserve"> in II fascia GPS. Era </w:t>
            </w:r>
            <w:proofErr w:type="spellStart"/>
            <w:r w:rsidRPr="004E39D6">
              <w:rPr>
                <w:lang w:val="en-US"/>
              </w:rPr>
              <w:t>esclusa</w:t>
            </w:r>
            <w:proofErr w:type="spellEnd"/>
            <w:r w:rsidRPr="004E39D6">
              <w:rPr>
                <w:lang w:val="en-US"/>
              </w:rPr>
              <w:t xml:space="preserve"> la </w:t>
            </w:r>
            <w:proofErr w:type="spellStart"/>
            <w:r w:rsidRPr="004E39D6">
              <w:rPr>
                <w:lang w:val="en-US"/>
              </w:rPr>
              <w:t>valutazione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Insegnamento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della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Religione</w:t>
            </w:r>
            <w:proofErr w:type="spellEnd"/>
            <w:r w:rsidRPr="004E39D6">
              <w:rPr>
                <w:lang w:val="en-US"/>
              </w:rPr>
              <w:t xml:space="preserve"> Cattolica e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ore di </w:t>
            </w:r>
            <w:proofErr w:type="spellStart"/>
            <w:r w:rsidRPr="004E39D6">
              <w:rPr>
                <w:lang w:val="en-US"/>
              </w:rPr>
              <w:t>alternativa</w:t>
            </w:r>
            <w:proofErr w:type="spellEnd"/>
            <w:r w:rsidR="004A0B0B">
              <w:rPr>
                <w:lang w:val="en-US"/>
              </w:rPr>
              <w:t xml:space="preserve">, </w:t>
            </w:r>
            <w:proofErr w:type="spellStart"/>
            <w:r w:rsidRPr="004E39D6">
              <w:rPr>
                <w:lang w:val="en-US"/>
              </w:rPr>
              <w:t>attualmente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valutabili</w:t>
            </w:r>
            <w:proofErr w:type="spellEnd"/>
            <w:r w:rsidRPr="004E39D6">
              <w:rPr>
                <w:lang w:val="en-US"/>
              </w:rPr>
              <w:t xml:space="preserve"> in III fascia come </w:t>
            </w:r>
            <w:proofErr w:type="spellStart"/>
            <w:r w:rsidRPr="004E39D6">
              <w:rPr>
                <w:lang w:val="en-US"/>
              </w:rPr>
              <w:t>altre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attività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insegnamento</w:t>
            </w:r>
            <w:proofErr w:type="spellEnd"/>
            <w:r w:rsidRPr="004E39D6">
              <w:rPr>
                <w:lang w:val="en-US"/>
              </w:rPr>
              <w:t xml:space="preserve">. </w:t>
            </w:r>
          </w:p>
          <w:p w14:paraId="4236BEC9" w14:textId="7F4B7A86" w:rsidR="004E39D6" w:rsidRDefault="004E39D6" w:rsidP="004A0B0B">
            <w:pPr>
              <w:rPr>
                <w:lang w:val="en-US"/>
              </w:rPr>
            </w:pPr>
            <w:r w:rsidRPr="004E39D6">
              <w:rPr>
                <w:lang w:val="en-US"/>
              </w:rPr>
              <w:t xml:space="preserve">Per le GPS di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Pr="004E39D6">
              <w:rPr>
                <w:lang w:val="en-US"/>
              </w:rPr>
              <w:t xml:space="preserve"> era </w:t>
            </w:r>
            <w:proofErr w:type="spellStart"/>
            <w:r w:rsidRPr="004E39D6">
              <w:rPr>
                <w:lang w:val="en-US"/>
              </w:rPr>
              <w:t>prevista</w:t>
            </w:r>
            <w:proofErr w:type="spellEnd"/>
            <w:r w:rsidRPr="004E39D6">
              <w:rPr>
                <w:lang w:val="en-US"/>
              </w:rPr>
              <w:t xml:space="preserve"> la sola ed </w:t>
            </w:r>
            <w:proofErr w:type="spellStart"/>
            <w:r w:rsidRPr="004E39D6">
              <w:rPr>
                <w:lang w:val="en-US"/>
              </w:rPr>
              <w:t>esclusiva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valutazione</w:t>
            </w:r>
            <w:proofErr w:type="spellEnd"/>
            <w:r w:rsidRPr="004E39D6">
              <w:rPr>
                <w:lang w:val="en-US"/>
              </w:rPr>
              <w:t xml:space="preserve"> del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="004A0B0B">
              <w:rPr>
                <w:lang w:val="en-US"/>
              </w:rPr>
              <w:t xml:space="preserve">: come </w:t>
            </w:r>
            <w:proofErr w:type="spellStart"/>
            <w:r w:rsidR="004A0B0B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se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stesso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 e non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se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diverso</w:t>
            </w:r>
            <w:proofErr w:type="spellEnd"/>
            <w:r w:rsidRPr="004E39D6">
              <w:rPr>
                <w:lang w:val="en-US"/>
              </w:rPr>
              <w:t>.</w:t>
            </w:r>
          </w:p>
          <w:p w14:paraId="09FD3AF6" w14:textId="070E148B" w:rsidR="004E39D6" w:rsidRPr="004E39D6" w:rsidRDefault="004E39D6" w:rsidP="004E39D6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A67A82" w14:textId="77777777" w:rsidR="004A0B0B" w:rsidRDefault="004E39D6" w:rsidP="004E39D6">
            <w:pPr>
              <w:rPr>
                <w:lang w:val="en-US"/>
              </w:rPr>
            </w:pPr>
            <w:proofErr w:type="spellStart"/>
            <w:r w:rsidRPr="004E39D6">
              <w:rPr>
                <w:lang w:val="en-US"/>
              </w:rPr>
              <w:t>Tutto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il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insegnamento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posto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comune</w:t>
            </w:r>
            <w:proofErr w:type="spellEnd"/>
            <w:r w:rsidRPr="004E39D6">
              <w:rPr>
                <w:lang w:val="en-US"/>
              </w:rPr>
              <w:t xml:space="preserve"> o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stesso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 o in </w:t>
            </w:r>
            <w:proofErr w:type="spellStart"/>
            <w:r w:rsidRPr="004E39D6">
              <w:rPr>
                <w:lang w:val="en-US"/>
              </w:rPr>
              <w:t>altro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 è </w:t>
            </w:r>
            <w:proofErr w:type="spellStart"/>
            <w:r w:rsidRPr="004E39D6">
              <w:rPr>
                <w:lang w:val="en-US"/>
              </w:rPr>
              <w:t>valutabile</w:t>
            </w:r>
            <w:proofErr w:type="spellEnd"/>
            <w:r w:rsidRPr="004E39D6">
              <w:rPr>
                <w:lang w:val="en-US"/>
              </w:rPr>
              <w:t xml:space="preserve">. In </w:t>
            </w:r>
            <w:proofErr w:type="spellStart"/>
            <w:r w:rsidRPr="004E39D6">
              <w:rPr>
                <w:lang w:val="en-US"/>
              </w:rPr>
              <w:t>particolare</w:t>
            </w:r>
            <w:proofErr w:type="spellEnd"/>
            <w:r w:rsidRPr="004E39D6">
              <w:rPr>
                <w:lang w:val="en-US"/>
              </w:rPr>
              <w:t xml:space="preserve"> è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quello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sulla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corrispondente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classe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 o </w:t>
            </w:r>
            <w:proofErr w:type="spellStart"/>
            <w:r w:rsidRPr="004E39D6">
              <w:rPr>
                <w:lang w:val="en-US"/>
              </w:rPr>
              <w:t>tipo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posto</w:t>
            </w:r>
            <w:proofErr w:type="spellEnd"/>
            <w:r w:rsidR="004A0B0B">
              <w:rPr>
                <w:lang w:val="en-US"/>
              </w:rPr>
              <w:t>; è</w:t>
            </w:r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valutato</w:t>
            </w:r>
            <w:proofErr w:type="spellEnd"/>
            <w:r w:rsidRPr="004E39D6">
              <w:rPr>
                <w:lang w:val="en-US"/>
              </w:rPr>
              <w:t xml:space="preserve"> come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non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quello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altra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classe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 o </w:t>
            </w:r>
            <w:proofErr w:type="spellStart"/>
            <w:r w:rsidRPr="004E39D6">
              <w:rPr>
                <w:lang w:val="en-US"/>
              </w:rPr>
              <w:t>tipo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posto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qualunque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. </w:t>
            </w:r>
          </w:p>
          <w:p w14:paraId="52CB9E32" w14:textId="14BE9296" w:rsidR="004E39D6" w:rsidRPr="004E39D6" w:rsidRDefault="004E39D6" w:rsidP="004E39D6">
            <w:pPr>
              <w:rPr>
                <w:lang w:val="en-US"/>
              </w:rPr>
            </w:pPr>
            <w:r w:rsidRPr="004E39D6">
              <w:rPr>
                <w:lang w:val="en-US"/>
              </w:rPr>
              <w:t xml:space="preserve">Per le GPS di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Pr="004E39D6">
              <w:rPr>
                <w:lang w:val="en-US"/>
              </w:rPr>
              <w:t xml:space="preserve"> è </w:t>
            </w:r>
            <w:proofErr w:type="spellStart"/>
            <w:r w:rsidRPr="004E39D6">
              <w:rPr>
                <w:lang w:val="en-US"/>
              </w:rPr>
              <w:t>valutato</w:t>
            </w:r>
            <w:proofErr w:type="spellEnd"/>
            <w:r w:rsidRPr="004E39D6">
              <w:rPr>
                <w:lang w:val="en-US"/>
              </w:rPr>
              <w:t xml:space="preserve"> come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quello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stesso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Pr="004E39D6">
              <w:rPr>
                <w:lang w:val="en-US"/>
              </w:rPr>
              <w:t xml:space="preserve">; è </w:t>
            </w:r>
            <w:proofErr w:type="spellStart"/>
            <w:r w:rsidRPr="004E39D6">
              <w:rPr>
                <w:lang w:val="en-US"/>
              </w:rPr>
              <w:t>valutato</w:t>
            </w:r>
            <w:proofErr w:type="spellEnd"/>
            <w:r w:rsidRPr="004E39D6">
              <w:rPr>
                <w:lang w:val="en-US"/>
              </w:rPr>
              <w:t xml:space="preserve"> come non </w:t>
            </w:r>
            <w:proofErr w:type="spellStart"/>
            <w:r w:rsidR="004A0B0B">
              <w:rPr>
                <w:lang w:val="en-US"/>
              </w:rPr>
              <w:t>specifico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il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sostegno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altro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grado</w:t>
            </w:r>
            <w:proofErr w:type="spellEnd"/>
            <w:r w:rsidR="004A0B0B">
              <w:rPr>
                <w:lang w:val="en-US"/>
              </w:rPr>
              <w:t>,</w:t>
            </w:r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ogni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altro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servizio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prestato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su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posto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comune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nonché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il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serv</w:t>
            </w:r>
            <w:r w:rsidR="004A0B0B">
              <w:rPr>
                <w:lang w:val="en-US"/>
              </w:rPr>
              <w:t>i</w:t>
            </w:r>
            <w:r w:rsidRPr="004E39D6">
              <w:rPr>
                <w:lang w:val="en-US"/>
              </w:rPr>
              <w:t>zio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insegnamento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della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Religione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cattolica</w:t>
            </w:r>
            <w:proofErr w:type="spellEnd"/>
            <w:r w:rsidRPr="004E39D6">
              <w:rPr>
                <w:lang w:val="en-US"/>
              </w:rPr>
              <w:t xml:space="preserve"> e di ore alternative.</w:t>
            </w:r>
          </w:p>
        </w:tc>
      </w:tr>
      <w:tr w:rsidR="004E39D6" w:rsidRPr="004E39D6" w14:paraId="1325002B" w14:textId="77777777" w:rsidTr="004E39D6"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FBBA0" w14:textId="2073AC93" w:rsidR="004E39D6" w:rsidRDefault="004E39D6" w:rsidP="004E39D6">
            <w:pPr>
              <w:rPr>
                <w:lang w:val="en-US"/>
              </w:rPr>
            </w:pPr>
            <w:proofErr w:type="spellStart"/>
            <w:r w:rsidRPr="004E39D6">
              <w:rPr>
                <w:lang w:val="en-US"/>
              </w:rPr>
              <w:t>Diversamente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dallle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attuali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regole</w:t>
            </w:r>
            <w:proofErr w:type="spellEnd"/>
            <w:r w:rsidRPr="004E39D6">
              <w:rPr>
                <w:lang w:val="en-US"/>
              </w:rPr>
              <w:t xml:space="preserve"> per cui </w:t>
            </w:r>
            <w:proofErr w:type="spellStart"/>
            <w:r w:rsidRPr="004E39D6">
              <w:rPr>
                <w:lang w:val="en-US"/>
              </w:rPr>
              <w:t>gli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aspiranti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inseriti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GaE</w:t>
            </w:r>
            <w:proofErr w:type="spellEnd"/>
            <w:r w:rsidRPr="004E39D6">
              <w:rPr>
                <w:lang w:val="en-US"/>
              </w:rPr>
              <w:t xml:space="preserve"> non </w:t>
            </w:r>
            <w:proofErr w:type="spellStart"/>
            <w:r w:rsidRPr="004E39D6">
              <w:rPr>
                <w:lang w:val="en-US"/>
              </w:rPr>
              <w:t>potevano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inserirsi</w:t>
            </w:r>
            <w:proofErr w:type="spellEnd"/>
            <w:r w:rsidRPr="004E39D6">
              <w:rPr>
                <w:lang w:val="en-US"/>
              </w:rPr>
              <w:t xml:space="preserve"> in II fascia per la </w:t>
            </w:r>
            <w:proofErr w:type="spellStart"/>
            <w:r w:rsidRPr="004E39D6">
              <w:rPr>
                <w:lang w:val="en-US"/>
              </w:rPr>
              <w:t>stessa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classe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, </w:t>
            </w:r>
            <w:proofErr w:type="spellStart"/>
            <w:r w:rsidRPr="004E39D6">
              <w:rPr>
                <w:lang w:val="en-US"/>
              </w:rPr>
              <w:t>l'Ordinanza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prevede</w:t>
            </w:r>
            <w:proofErr w:type="spellEnd"/>
            <w:r w:rsidRPr="004E39D6">
              <w:rPr>
                <w:lang w:val="en-US"/>
              </w:rPr>
              <w:t xml:space="preserve"> la </w:t>
            </w:r>
            <w:proofErr w:type="spellStart"/>
            <w:r w:rsidRPr="004E39D6">
              <w:rPr>
                <w:lang w:val="en-US"/>
              </w:rPr>
              <w:t>possibilità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inserirsi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nella</w:t>
            </w:r>
            <w:proofErr w:type="spellEnd"/>
            <w:r w:rsidRPr="004E39D6">
              <w:rPr>
                <w:lang w:val="en-US"/>
              </w:rPr>
              <w:t xml:space="preserve"> I fascia GPS </w:t>
            </w:r>
            <w:proofErr w:type="spellStart"/>
            <w:r w:rsidRPr="004E39D6">
              <w:rPr>
                <w:lang w:val="en-US"/>
              </w:rPr>
              <w:t>anche</w:t>
            </w:r>
            <w:proofErr w:type="spellEnd"/>
            <w:r w:rsidRPr="004E39D6">
              <w:rPr>
                <w:lang w:val="en-US"/>
              </w:rPr>
              <w:t xml:space="preserve"> </w:t>
            </w:r>
            <w:r w:rsidR="004A0B0B">
              <w:rPr>
                <w:lang w:val="en-US"/>
              </w:rPr>
              <w:t>in</w:t>
            </w:r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diversa</w:t>
            </w:r>
            <w:proofErr w:type="spellEnd"/>
            <w:r w:rsidRPr="004E39D6">
              <w:rPr>
                <w:lang w:val="en-US"/>
              </w:rPr>
              <w:t xml:space="preserve"> </w:t>
            </w:r>
            <w:r w:rsidR="004A0B0B">
              <w:rPr>
                <w:lang w:val="en-US"/>
              </w:rPr>
              <w:t xml:space="preserve">provincial per la </w:t>
            </w:r>
            <w:proofErr w:type="spellStart"/>
            <w:r w:rsidR="004A0B0B">
              <w:rPr>
                <w:lang w:val="en-US"/>
              </w:rPr>
              <w:t>medesima</w:t>
            </w:r>
            <w:proofErr w:type="spellEnd"/>
            <w:r w:rsidR="004A0B0B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classe</w:t>
            </w:r>
            <w:proofErr w:type="spellEnd"/>
            <w:r w:rsidR="004A0B0B">
              <w:rPr>
                <w:lang w:val="en-US"/>
              </w:rPr>
              <w:t xml:space="preserve"> di </w:t>
            </w:r>
            <w:proofErr w:type="spellStart"/>
            <w:r w:rsidR="004A0B0B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. Nelle </w:t>
            </w:r>
            <w:proofErr w:type="spellStart"/>
            <w:r w:rsidRPr="004E39D6">
              <w:rPr>
                <w:lang w:val="en-US"/>
              </w:rPr>
              <w:t>corrispondenti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G</w:t>
            </w:r>
            <w:r w:rsidRPr="004E39D6">
              <w:rPr>
                <w:lang w:val="en-US"/>
              </w:rPr>
              <w:t>raduatorie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Istituto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veniva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prevista</w:t>
            </w:r>
            <w:proofErr w:type="spellEnd"/>
            <w:r w:rsidRPr="004E39D6">
              <w:rPr>
                <w:lang w:val="en-US"/>
              </w:rPr>
              <w:t xml:space="preserve"> una </w:t>
            </w:r>
            <w:proofErr w:type="spellStart"/>
            <w:r w:rsidRPr="004E39D6">
              <w:rPr>
                <w:lang w:val="en-US"/>
              </w:rPr>
              <w:t>precedenza</w:t>
            </w:r>
            <w:proofErr w:type="spellEnd"/>
            <w:r w:rsidRPr="004E39D6">
              <w:rPr>
                <w:lang w:val="en-US"/>
              </w:rPr>
              <w:t xml:space="preserve"> assoluta rispetto </w:t>
            </w:r>
            <w:proofErr w:type="spellStart"/>
            <w:r w:rsidRPr="004E39D6">
              <w:rPr>
                <w:lang w:val="en-US"/>
              </w:rPr>
              <w:t>agli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altri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aspiranti</w:t>
            </w:r>
            <w:proofErr w:type="spellEnd"/>
            <w:r w:rsidRPr="004E39D6">
              <w:rPr>
                <w:lang w:val="en-US"/>
              </w:rPr>
              <w:t xml:space="preserve">, </w:t>
            </w:r>
            <w:proofErr w:type="spellStart"/>
            <w:r w:rsidRPr="004E39D6">
              <w:rPr>
                <w:lang w:val="en-US"/>
              </w:rPr>
              <w:t>indipendentemente</w:t>
            </w:r>
            <w:proofErr w:type="spellEnd"/>
            <w:r w:rsidRPr="004E39D6">
              <w:rPr>
                <w:lang w:val="en-US"/>
              </w:rPr>
              <w:t xml:space="preserve"> dal </w:t>
            </w:r>
            <w:proofErr w:type="spellStart"/>
            <w:r w:rsidRPr="004E39D6">
              <w:rPr>
                <w:lang w:val="en-US"/>
              </w:rPr>
              <w:t>punteggio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posseduto</w:t>
            </w:r>
            <w:proofErr w:type="spellEnd"/>
            <w:r w:rsidRPr="004E39D6">
              <w:rPr>
                <w:lang w:val="en-US"/>
              </w:rPr>
              <w:t>.</w:t>
            </w:r>
          </w:p>
          <w:p w14:paraId="310B3B3F" w14:textId="4941F7E4" w:rsidR="004E39D6" w:rsidRPr="004E39D6" w:rsidRDefault="004E39D6" w:rsidP="004E39D6">
            <w:pPr>
              <w:rPr>
                <w:lang w:val="en-US"/>
              </w:rPr>
            </w:pP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ECBD40" w14:textId="385AEDE3" w:rsidR="004E39D6" w:rsidRPr="004E39D6" w:rsidRDefault="004E39D6" w:rsidP="004E39D6">
            <w:pPr>
              <w:rPr>
                <w:lang w:val="en-US"/>
              </w:rPr>
            </w:pPr>
            <w:proofErr w:type="spellStart"/>
            <w:r w:rsidRPr="004E39D6">
              <w:rPr>
                <w:lang w:val="en-US"/>
              </w:rPr>
              <w:t>Gli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aspiranti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presenti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GaE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potranno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inserirsi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nella</w:t>
            </w:r>
            <w:proofErr w:type="spellEnd"/>
            <w:r w:rsidRPr="004E39D6">
              <w:rPr>
                <w:lang w:val="en-US"/>
              </w:rPr>
              <w:t xml:space="preserve"> I fascia GPS </w:t>
            </w:r>
            <w:proofErr w:type="spellStart"/>
            <w:r w:rsidRPr="004E39D6">
              <w:rPr>
                <w:lang w:val="en-US"/>
              </w:rPr>
              <w:t>anche</w:t>
            </w:r>
            <w:proofErr w:type="spellEnd"/>
            <w:r w:rsidRPr="004E39D6">
              <w:rPr>
                <w:lang w:val="en-US"/>
              </w:rPr>
              <w:t xml:space="preserve"> per la </w:t>
            </w:r>
            <w:proofErr w:type="spellStart"/>
            <w:r w:rsidRPr="004E39D6">
              <w:rPr>
                <w:lang w:val="en-US"/>
              </w:rPr>
              <w:t>medesima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classe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, </w:t>
            </w:r>
            <w:proofErr w:type="spellStart"/>
            <w:r w:rsidRPr="004E39D6">
              <w:rPr>
                <w:lang w:val="en-US"/>
              </w:rPr>
              <w:t>oltre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che</w:t>
            </w:r>
            <w:proofErr w:type="spellEnd"/>
            <w:r w:rsidRPr="004E39D6">
              <w:rPr>
                <w:lang w:val="en-US"/>
              </w:rPr>
              <w:t xml:space="preserve"> per </w:t>
            </w:r>
            <w:proofErr w:type="spellStart"/>
            <w:r w:rsidRPr="004E39D6">
              <w:rPr>
                <w:lang w:val="en-US"/>
              </w:rPr>
              <w:t>altre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classi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="004A0B0B">
              <w:rPr>
                <w:lang w:val="en-US"/>
              </w:rPr>
              <w:t>,</w:t>
            </w:r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potendo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cambiare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provincia</w:t>
            </w:r>
            <w:proofErr w:type="spellEnd"/>
            <w:r w:rsidRPr="004E39D6">
              <w:rPr>
                <w:lang w:val="en-US"/>
              </w:rPr>
              <w:t xml:space="preserve"> e </w:t>
            </w:r>
            <w:proofErr w:type="spellStart"/>
            <w:r w:rsidRPr="004E39D6">
              <w:rPr>
                <w:lang w:val="en-US"/>
              </w:rPr>
              <w:t>superando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così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blocchi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dovuti</w:t>
            </w:r>
            <w:proofErr w:type="spellEnd"/>
            <w:r w:rsidRPr="004E39D6">
              <w:rPr>
                <w:lang w:val="en-US"/>
              </w:rPr>
              <w:t xml:space="preserve"> al </w:t>
            </w:r>
            <w:proofErr w:type="spellStart"/>
            <w:r w:rsidRPr="004E39D6">
              <w:rPr>
                <w:lang w:val="en-US"/>
              </w:rPr>
              <w:t>disallineamento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tra</w:t>
            </w:r>
            <w:proofErr w:type="spellEnd"/>
            <w:r w:rsidRPr="004E39D6">
              <w:rPr>
                <w:lang w:val="en-US"/>
              </w:rPr>
              <w:t xml:space="preserve"> la prima fascia di </w:t>
            </w:r>
            <w:proofErr w:type="spellStart"/>
            <w:r w:rsidRPr="004E39D6">
              <w:rPr>
                <w:lang w:val="en-US"/>
              </w:rPr>
              <w:t>Istituto</w:t>
            </w:r>
            <w:proofErr w:type="spellEnd"/>
            <w:r w:rsidRPr="004E39D6">
              <w:rPr>
                <w:lang w:val="en-US"/>
              </w:rPr>
              <w:t xml:space="preserve"> e </w:t>
            </w:r>
            <w:proofErr w:type="spellStart"/>
            <w:r w:rsidRPr="004E39D6">
              <w:rPr>
                <w:lang w:val="en-US"/>
              </w:rPr>
              <w:t>attuali</w:t>
            </w:r>
            <w:proofErr w:type="spellEnd"/>
            <w:r w:rsidRPr="004E39D6">
              <w:rPr>
                <w:lang w:val="en-US"/>
              </w:rPr>
              <w:t xml:space="preserve"> II e III </w:t>
            </w:r>
            <w:proofErr w:type="spellStart"/>
            <w:r w:rsidRPr="004E39D6">
              <w:rPr>
                <w:lang w:val="en-US"/>
              </w:rPr>
              <w:t>fasce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="004A0B0B">
              <w:rPr>
                <w:lang w:val="en-US"/>
              </w:rPr>
              <w:t>I</w:t>
            </w:r>
            <w:r w:rsidRPr="004E39D6">
              <w:rPr>
                <w:lang w:val="en-US"/>
              </w:rPr>
              <w:t>stituto</w:t>
            </w:r>
            <w:proofErr w:type="spellEnd"/>
            <w:r w:rsidRPr="004E39D6">
              <w:rPr>
                <w:lang w:val="en-US"/>
              </w:rPr>
              <w:t xml:space="preserve">. Nelle </w:t>
            </w:r>
            <w:proofErr w:type="spellStart"/>
            <w:r w:rsidRPr="004E39D6">
              <w:rPr>
                <w:lang w:val="en-US"/>
              </w:rPr>
              <w:t>nuove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graduatorie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istituto</w:t>
            </w:r>
            <w:proofErr w:type="spellEnd"/>
            <w:r w:rsidRPr="004E39D6">
              <w:rPr>
                <w:lang w:val="en-US"/>
              </w:rPr>
              <w:t xml:space="preserve">, </w:t>
            </w:r>
            <w:proofErr w:type="spellStart"/>
            <w:r w:rsidRPr="004E39D6">
              <w:rPr>
                <w:lang w:val="en-US"/>
              </w:rPr>
              <w:t>però</w:t>
            </w:r>
            <w:proofErr w:type="spellEnd"/>
            <w:r w:rsidRPr="004E39D6">
              <w:rPr>
                <w:lang w:val="en-US"/>
              </w:rPr>
              <w:t xml:space="preserve"> non </w:t>
            </w:r>
            <w:proofErr w:type="spellStart"/>
            <w:r w:rsidRPr="004E39D6">
              <w:rPr>
                <w:lang w:val="en-US"/>
              </w:rPr>
              <w:t>beneficieranno</w:t>
            </w:r>
            <w:proofErr w:type="spellEnd"/>
            <w:r w:rsidRPr="004E39D6">
              <w:rPr>
                <w:lang w:val="en-US"/>
              </w:rPr>
              <w:t xml:space="preserve"> di alcuna </w:t>
            </w:r>
            <w:proofErr w:type="spellStart"/>
            <w:r w:rsidRPr="004E39D6">
              <w:rPr>
                <w:lang w:val="en-US"/>
              </w:rPr>
              <w:t>precedenza</w:t>
            </w:r>
            <w:proofErr w:type="spellEnd"/>
            <w:r w:rsidRPr="004E39D6">
              <w:rPr>
                <w:lang w:val="en-US"/>
              </w:rPr>
              <w:t xml:space="preserve">, ma </w:t>
            </w:r>
            <w:proofErr w:type="spellStart"/>
            <w:r w:rsidRPr="004E39D6">
              <w:rPr>
                <w:lang w:val="en-US"/>
              </w:rPr>
              <w:t>saranno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trattati</w:t>
            </w:r>
            <w:proofErr w:type="spellEnd"/>
            <w:r w:rsidRPr="004E39D6">
              <w:rPr>
                <w:lang w:val="en-US"/>
              </w:rPr>
              <w:t xml:space="preserve"> in base al </w:t>
            </w:r>
            <w:proofErr w:type="spellStart"/>
            <w:r w:rsidRPr="004E39D6">
              <w:rPr>
                <w:lang w:val="en-US"/>
              </w:rPr>
              <w:t>punteggio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posseduto</w:t>
            </w:r>
            <w:proofErr w:type="spellEnd"/>
            <w:r w:rsidRPr="004E39D6">
              <w:rPr>
                <w:lang w:val="en-US"/>
              </w:rPr>
              <w:t>.</w:t>
            </w:r>
            <w:r w:rsidR="004A0B0B">
              <w:rPr>
                <w:lang w:val="en-US"/>
              </w:rPr>
              <w:t xml:space="preserve"> La </w:t>
            </w:r>
            <w:proofErr w:type="spellStart"/>
            <w:r w:rsidR="004A0B0B">
              <w:rPr>
                <w:lang w:val="en-US"/>
              </w:rPr>
              <w:t>precedenza</w:t>
            </w:r>
            <w:proofErr w:type="spellEnd"/>
            <w:r w:rsidR="004A0B0B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viene</w:t>
            </w:r>
            <w:proofErr w:type="spellEnd"/>
            <w:r w:rsidR="004A0B0B">
              <w:rPr>
                <w:lang w:val="en-US"/>
              </w:rPr>
              <w:t xml:space="preserve">, </w:t>
            </w:r>
            <w:proofErr w:type="spellStart"/>
            <w:r w:rsidR="004A0B0B">
              <w:rPr>
                <w:lang w:val="en-US"/>
              </w:rPr>
              <w:t>infatti</w:t>
            </w:r>
            <w:proofErr w:type="spellEnd"/>
            <w:r w:rsidR="004A0B0B">
              <w:rPr>
                <w:lang w:val="en-US"/>
              </w:rPr>
              <w:t xml:space="preserve">, </w:t>
            </w:r>
            <w:proofErr w:type="spellStart"/>
            <w:r w:rsidR="004A0B0B">
              <w:rPr>
                <w:lang w:val="en-US"/>
              </w:rPr>
              <w:t>garantita</w:t>
            </w:r>
            <w:proofErr w:type="spellEnd"/>
            <w:r w:rsidR="004A0B0B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dalla</w:t>
            </w:r>
            <w:proofErr w:type="spellEnd"/>
            <w:r w:rsidR="004A0B0B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presenza</w:t>
            </w:r>
            <w:proofErr w:type="spellEnd"/>
            <w:r w:rsidR="004A0B0B">
              <w:rPr>
                <w:lang w:val="en-US"/>
              </w:rPr>
              <w:t xml:space="preserve"> in I fascia di </w:t>
            </w:r>
            <w:proofErr w:type="spellStart"/>
            <w:r w:rsidR="004A0B0B">
              <w:rPr>
                <w:lang w:val="en-US"/>
              </w:rPr>
              <w:t>istituto</w:t>
            </w:r>
            <w:proofErr w:type="spellEnd"/>
            <w:r w:rsidR="004A0B0B">
              <w:rPr>
                <w:lang w:val="en-US"/>
              </w:rPr>
              <w:t>.</w:t>
            </w:r>
          </w:p>
        </w:tc>
      </w:tr>
      <w:tr w:rsidR="004E39D6" w:rsidRPr="004E39D6" w14:paraId="52194FE4" w14:textId="77777777" w:rsidTr="004E39D6"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422C7" w14:textId="1364E1F4" w:rsidR="004E39D6" w:rsidRPr="004E39D6" w:rsidRDefault="004E39D6" w:rsidP="004E39D6">
            <w:pPr>
              <w:rPr>
                <w:lang w:val="en-US"/>
              </w:rPr>
            </w:pPr>
            <w:proofErr w:type="spellStart"/>
            <w:r w:rsidRPr="004E39D6">
              <w:rPr>
                <w:lang w:val="en-US"/>
              </w:rPr>
              <w:t>Nessuna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disposizione</w:t>
            </w:r>
            <w:proofErr w:type="spellEnd"/>
            <w:r w:rsidRPr="004E39D6">
              <w:rPr>
                <w:lang w:val="en-US"/>
              </w:rPr>
              <w:t xml:space="preserve"> era </w:t>
            </w:r>
            <w:proofErr w:type="spellStart"/>
            <w:r w:rsidRPr="004E39D6">
              <w:rPr>
                <w:lang w:val="en-US"/>
              </w:rPr>
              <w:t>prevista</w:t>
            </w:r>
            <w:proofErr w:type="spellEnd"/>
            <w:r w:rsidRPr="004E39D6">
              <w:rPr>
                <w:lang w:val="en-US"/>
              </w:rPr>
              <w:t xml:space="preserve"> per </w:t>
            </w:r>
            <w:proofErr w:type="spellStart"/>
            <w:r w:rsidRPr="004E39D6">
              <w:rPr>
                <w:lang w:val="en-US"/>
              </w:rPr>
              <w:t>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Diplomati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Magistrali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assunti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ruolo</w:t>
            </w:r>
            <w:proofErr w:type="spellEnd"/>
            <w:r w:rsidRPr="004E39D6">
              <w:rPr>
                <w:lang w:val="en-US"/>
              </w:rPr>
              <w:t xml:space="preserve"> con </w:t>
            </w:r>
            <w:proofErr w:type="spellStart"/>
            <w:r w:rsidRPr="004E39D6">
              <w:rPr>
                <w:lang w:val="en-US"/>
              </w:rPr>
              <w:t>riserva</w:t>
            </w:r>
            <w:proofErr w:type="spellEnd"/>
            <w:r w:rsidR="004A0B0B">
              <w:rPr>
                <w:lang w:val="en-US"/>
              </w:rPr>
              <w:t>.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36E5C4" w14:textId="1CB2523B" w:rsidR="004E39D6" w:rsidRPr="004E39D6" w:rsidRDefault="004E39D6" w:rsidP="004E39D6">
            <w:pPr>
              <w:rPr>
                <w:lang w:val="en-US"/>
              </w:rPr>
            </w:pPr>
            <w:r w:rsidRPr="004E39D6">
              <w:rPr>
                <w:lang w:val="en-US"/>
              </w:rPr>
              <w:t xml:space="preserve">I </w:t>
            </w:r>
            <w:proofErr w:type="spellStart"/>
            <w:r w:rsidRPr="004E39D6">
              <w:rPr>
                <w:lang w:val="en-US"/>
              </w:rPr>
              <w:t>diplomati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assunti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ruolo</w:t>
            </w:r>
            <w:proofErr w:type="spellEnd"/>
            <w:r w:rsidRPr="004E39D6">
              <w:rPr>
                <w:lang w:val="en-US"/>
              </w:rPr>
              <w:t xml:space="preserve"> con </w:t>
            </w:r>
            <w:proofErr w:type="spellStart"/>
            <w:r w:rsidRPr="004E39D6">
              <w:rPr>
                <w:lang w:val="en-US"/>
              </w:rPr>
              <w:t>riserva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potranno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presentare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domanda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inserimento</w:t>
            </w:r>
            <w:proofErr w:type="spellEnd"/>
            <w:r w:rsidRPr="004E39D6">
              <w:rPr>
                <w:lang w:val="en-US"/>
              </w:rPr>
              <w:t xml:space="preserve"> in I fascia GPS </w:t>
            </w:r>
            <w:proofErr w:type="spellStart"/>
            <w:r w:rsidRPr="004E39D6">
              <w:rPr>
                <w:lang w:val="en-US"/>
              </w:rPr>
              <w:t>anche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costanza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rapporto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lavoro</w:t>
            </w:r>
            <w:proofErr w:type="spellEnd"/>
            <w:r w:rsidRPr="004E39D6">
              <w:rPr>
                <w:lang w:val="en-US"/>
              </w:rPr>
              <w:t xml:space="preserve"> a tempo </w:t>
            </w:r>
            <w:proofErr w:type="spellStart"/>
            <w:r w:rsidRPr="004E39D6">
              <w:rPr>
                <w:lang w:val="en-US"/>
              </w:rPr>
              <w:t>indeterminato</w:t>
            </w:r>
            <w:proofErr w:type="spellEnd"/>
            <w:r w:rsidRPr="004E39D6">
              <w:rPr>
                <w:lang w:val="en-US"/>
              </w:rPr>
              <w:t xml:space="preserve"> con </w:t>
            </w:r>
            <w:proofErr w:type="spellStart"/>
            <w:r w:rsidRPr="004E39D6">
              <w:rPr>
                <w:lang w:val="en-US"/>
              </w:rPr>
              <w:t>clausola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risolutiva</w:t>
            </w:r>
            <w:proofErr w:type="spellEnd"/>
            <w:r w:rsidRPr="004E39D6">
              <w:rPr>
                <w:lang w:val="en-US"/>
              </w:rPr>
              <w:t xml:space="preserve">. La </w:t>
            </w:r>
            <w:proofErr w:type="spellStart"/>
            <w:r w:rsidRPr="004E39D6">
              <w:rPr>
                <w:lang w:val="en-US"/>
              </w:rPr>
              <w:t>loro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posizione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nella</w:t>
            </w:r>
            <w:proofErr w:type="spellEnd"/>
            <w:r w:rsidRPr="004E39D6">
              <w:rPr>
                <w:lang w:val="en-US"/>
              </w:rPr>
              <w:t xml:space="preserve"> I fascia GPS </w:t>
            </w:r>
            <w:proofErr w:type="spellStart"/>
            <w:r w:rsidRPr="004E39D6">
              <w:rPr>
                <w:lang w:val="en-US"/>
              </w:rPr>
              <w:t>diventa</w:t>
            </w:r>
            <w:proofErr w:type="spellEnd"/>
            <w:r w:rsidRPr="004E39D6">
              <w:rPr>
                <w:lang w:val="en-US"/>
              </w:rPr>
              <w:t xml:space="preserve"> utile </w:t>
            </w:r>
            <w:r w:rsidR="004A0B0B">
              <w:rPr>
                <w:lang w:val="en-US"/>
              </w:rPr>
              <w:t xml:space="preserve">al </w:t>
            </w:r>
            <w:proofErr w:type="spellStart"/>
            <w:r w:rsidR="004A0B0B">
              <w:rPr>
                <w:lang w:val="en-US"/>
              </w:rPr>
              <w:t>momento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="004A0B0B">
              <w:rPr>
                <w:lang w:val="en-US"/>
              </w:rPr>
              <w:t>del</w:t>
            </w:r>
            <w:r w:rsidRPr="004E39D6">
              <w:rPr>
                <w:lang w:val="en-US"/>
              </w:rPr>
              <w:t>la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risoluzione</w:t>
            </w:r>
            <w:proofErr w:type="spellEnd"/>
            <w:r w:rsidRPr="004E39D6">
              <w:rPr>
                <w:lang w:val="en-US"/>
              </w:rPr>
              <w:t xml:space="preserve"> del </w:t>
            </w:r>
            <w:proofErr w:type="spellStart"/>
            <w:r w:rsidRPr="004E39D6">
              <w:rPr>
                <w:lang w:val="en-US"/>
              </w:rPr>
              <w:t>rapporto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lavoro</w:t>
            </w:r>
            <w:proofErr w:type="spellEnd"/>
            <w:r w:rsidRPr="004E39D6">
              <w:rPr>
                <w:lang w:val="en-US"/>
              </w:rPr>
              <w:t xml:space="preserve"> in </w:t>
            </w:r>
            <w:proofErr w:type="spellStart"/>
            <w:r w:rsidRPr="004E39D6">
              <w:rPr>
                <w:lang w:val="en-US"/>
              </w:rPr>
              <w:t>applicazione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delle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sentenze</w:t>
            </w:r>
            <w:proofErr w:type="spellEnd"/>
            <w:r w:rsidRPr="004E39D6">
              <w:rPr>
                <w:lang w:val="en-US"/>
              </w:rPr>
              <w:t>.</w:t>
            </w:r>
          </w:p>
        </w:tc>
      </w:tr>
      <w:tr w:rsidR="004E39D6" w:rsidRPr="004E39D6" w14:paraId="66E45D6A" w14:textId="77777777" w:rsidTr="004E39D6">
        <w:tc>
          <w:tcPr>
            <w:tcW w:w="250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8B2E7" w14:textId="2F6A222D" w:rsidR="004E39D6" w:rsidRPr="004E39D6" w:rsidRDefault="004E39D6" w:rsidP="004E39D6">
            <w:pPr>
              <w:rPr>
                <w:lang w:val="en-US"/>
              </w:rPr>
            </w:pPr>
            <w:proofErr w:type="spellStart"/>
            <w:r w:rsidRPr="004E39D6">
              <w:rPr>
                <w:lang w:val="en-US"/>
              </w:rPr>
              <w:t>Alla</w:t>
            </w:r>
            <w:proofErr w:type="spellEnd"/>
            <w:r w:rsidRPr="004E39D6">
              <w:rPr>
                <w:lang w:val="en-US"/>
              </w:rPr>
              <w:t xml:space="preserve"> I fascia </w:t>
            </w:r>
            <w:proofErr w:type="spellStart"/>
            <w:r w:rsidRPr="004E39D6">
              <w:rPr>
                <w:lang w:val="en-US"/>
              </w:rPr>
              <w:t>delle</w:t>
            </w:r>
            <w:proofErr w:type="spellEnd"/>
            <w:r w:rsidRPr="004E39D6">
              <w:rPr>
                <w:lang w:val="en-US"/>
              </w:rPr>
              <w:t xml:space="preserve"> GPS </w:t>
            </w:r>
            <w:proofErr w:type="spellStart"/>
            <w:r w:rsidRPr="004E39D6">
              <w:rPr>
                <w:lang w:val="en-US"/>
              </w:rPr>
              <w:t>dei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Licei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Musicali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hanno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titolo</w:t>
            </w:r>
            <w:proofErr w:type="spellEnd"/>
            <w:r w:rsidRPr="004E39D6">
              <w:rPr>
                <w:lang w:val="en-US"/>
              </w:rPr>
              <w:t xml:space="preserve"> di accesso </w:t>
            </w:r>
            <w:proofErr w:type="spellStart"/>
            <w:r w:rsidRPr="004E39D6">
              <w:rPr>
                <w:lang w:val="en-US"/>
              </w:rPr>
              <w:t>gli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abilitati</w:t>
            </w:r>
            <w:proofErr w:type="spellEnd"/>
            <w:r w:rsidRPr="004E39D6">
              <w:rPr>
                <w:lang w:val="en-US"/>
              </w:rPr>
              <w:t xml:space="preserve"> A-23, A-30, A-56 in </w:t>
            </w:r>
            <w:proofErr w:type="spellStart"/>
            <w:r w:rsidRPr="004E39D6">
              <w:rPr>
                <w:lang w:val="en-US"/>
              </w:rPr>
              <w:t>possesso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dei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requisiti</w:t>
            </w:r>
            <w:proofErr w:type="spellEnd"/>
            <w:r w:rsidRPr="004E39D6">
              <w:rPr>
                <w:lang w:val="en-US"/>
              </w:rPr>
              <w:t xml:space="preserve"> di cui </w:t>
            </w:r>
            <w:proofErr w:type="spellStart"/>
            <w:r w:rsidRPr="004E39D6">
              <w:rPr>
                <w:lang w:val="en-US"/>
              </w:rPr>
              <w:t>all'Allegato</w:t>
            </w:r>
            <w:proofErr w:type="spellEnd"/>
            <w:r w:rsidRPr="004E39D6">
              <w:rPr>
                <w:lang w:val="en-US"/>
              </w:rPr>
              <w:t xml:space="preserve"> E D.P.R. 89/2010. Tale </w:t>
            </w:r>
            <w:proofErr w:type="spellStart"/>
            <w:r w:rsidRPr="004E39D6">
              <w:rPr>
                <w:lang w:val="en-US"/>
              </w:rPr>
              <w:t>proposta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si</w:t>
            </w:r>
            <w:proofErr w:type="spellEnd"/>
            <w:r w:rsidRPr="004E39D6">
              <w:rPr>
                <w:lang w:val="en-US"/>
              </w:rPr>
              <w:t xml:space="preserve"> </w:t>
            </w:r>
            <w:proofErr w:type="spellStart"/>
            <w:r w:rsidRPr="004E39D6">
              <w:rPr>
                <w:lang w:val="en-US"/>
              </w:rPr>
              <w:t>applicava</w:t>
            </w:r>
            <w:proofErr w:type="spellEnd"/>
            <w:r w:rsidRPr="004E39D6">
              <w:rPr>
                <w:lang w:val="en-US"/>
              </w:rPr>
              <w:t xml:space="preserve"> per le </w:t>
            </w:r>
            <w:proofErr w:type="spellStart"/>
            <w:r w:rsidRPr="004E39D6">
              <w:rPr>
                <w:lang w:val="en-US"/>
              </w:rPr>
              <w:t>classi</w:t>
            </w:r>
            <w:proofErr w:type="spellEnd"/>
            <w:r w:rsidRPr="004E39D6">
              <w:rPr>
                <w:lang w:val="en-US"/>
              </w:rPr>
              <w:t xml:space="preserve"> di </w:t>
            </w:r>
            <w:proofErr w:type="spellStart"/>
            <w:r w:rsidRPr="004E39D6">
              <w:rPr>
                <w:lang w:val="en-US"/>
              </w:rPr>
              <w:t>concorso</w:t>
            </w:r>
            <w:proofErr w:type="spellEnd"/>
            <w:r w:rsidRPr="004E39D6">
              <w:rPr>
                <w:lang w:val="en-US"/>
              </w:rPr>
              <w:t xml:space="preserve"> A-55, A-63 e A-64</w:t>
            </w:r>
            <w:r w:rsidR="004A0B0B">
              <w:rPr>
                <w:lang w:val="en-US"/>
              </w:rPr>
              <w:t xml:space="preserve">, ma </w:t>
            </w:r>
            <w:proofErr w:type="spellStart"/>
            <w:r w:rsidR="004A0B0B">
              <w:rPr>
                <w:lang w:val="en-US"/>
              </w:rPr>
              <w:t>escludeva</w:t>
            </w:r>
            <w:proofErr w:type="spellEnd"/>
            <w:r w:rsidR="004A0B0B">
              <w:rPr>
                <w:lang w:val="en-US"/>
              </w:rPr>
              <w:t xml:space="preserve"> la A-53.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D3FED7" w14:textId="68652410" w:rsidR="004E39D6" w:rsidRPr="004E39D6" w:rsidRDefault="004A0B0B" w:rsidP="004E39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L’ordinanza</w:t>
            </w:r>
            <w:proofErr w:type="spellEnd"/>
            <w:r w:rsidR="004E39D6" w:rsidRPr="004E39D6">
              <w:rPr>
                <w:lang w:val="en-US"/>
              </w:rPr>
              <w:t xml:space="preserve"> </w:t>
            </w:r>
            <w:proofErr w:type="spellStart"/>
            <w:r w:rsidR="004E39D6" w:rsidRPr="004E39D6">
              <w:rPr>
                <w:lang w:val="en-US"/>
              </w:rPr>
              <w:t>ricomprenderà</w:t>
            </w:r>
            <w:proofErr w:type="spellEnd"/>
            <w:r w:rsidR="004E39D6" w:rsidRPr="004E39D6">
              <w:rPr>
                <w:lang w:val="en-US"/>
              </w:rPr>
              <w:t xml:space="preserve"> </w:t>
            </w:r>
            <w:proofErr w:type="spellStart"/>
            <w:r w:rsidR="004E39D6" w:rsidRPr="004E39D6">
              <w:rPr>
                <w:lang w:val="en-US"/>
              </w:rPr>
              <w:t>anche</w:t>
            </w:r>
            <w:proofErr w:type="spellEnd"/>
            <w:r w:rsidR="004E39D6" w:rsidRPr="004E39D6">
              <w:rPr>
                <w:lang w:val="en-US"/>
              </w:rPr>
              <w:t xml:space="preserve"> la </w:t>
            </w:r>
            <w:proofErr w:type="spellStart"/>
            <w:r w:rsidR="004E39D6" w:rsidRPr="004E39D6">
              <w:rPr>
                <w:lang w:val="en-US"/>
              </w:rPr>
              <w:t>classe</w:t>
            </w:r>
            <w:proofErr w:type="spellEnd"/>
            <w:r w:rsidR="004E39D6" w:rsidRPr="004E39D6">
              <w:rPr>
                <w:lang w:val="en-US"/>
              </w:rPr>
              <w:t xml:space="preserve"> di </w:t>
            </w:r>
            <w:proofErr w:type="spellStart"/>
            <w:r w:rsidR="004E39D6" w:rsidRPr="004E39D6">
              <w:rPr>
                <w:lang w:val="en-US"/>
              </w:rPr>
              <w:t>concorso</w:t>
            </w:r>
            <w:proofErr w:type="spellEnd"/>
            <w:r w:rsidR="004E39D6" w:rsidRPr="004E39D6">
              <w:rPr>
                <w:lang w:val="en-US"/>
              </w:rPr>
              <w:t xml:space="preserve"> A-53</w:t>
            </w:r>
          </w:p>
        </w:tc>
      </w:tr>
    </w:tbl>
    <w:p w14:paraId="45CA4394" w14:textId="77777777" w:rsidR="00FD4051" w:rsidRDefault="00FD4051"/>
    <w:sectPr w:rsidR="00FD4051" w:rsidSect="004E39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D6"/>
    <w:rsid w:val="004A0B0B"/>
    <w:rsid w:val="004E39D6"/>
    <w:rsid w:val="00AE2201"/>
    <w:rsid w:val="00EA47F4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2FDB"/>
  <w15:chartTrackingRefBased/>
  <w15:docId w15:val="{843DAE1D-3EE8-446F-9CA2-35896D9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varengo</dc:creator>
  <cp:keywords/>
  <dc:description/>
  <cp:lastModifiedBy>Attilio varengo</cp:lastModifiedBy>
  <cp:revision>3</cp:revision>
  <dcterms:created xsi:type="dcterms:W3CDTF">2020-07-01T16:26:00Z</dcterms:created>
  <dcterms:modified xsi:type="dcterms:W3CDTF">2020-07-01T17:37:00Z</dcterms:modified>
</cp:coreProperties>
</file>