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048CECB" w14:textId="77777777" w:rsidR="000F6786" w:rsidRDefault="00C70083" w:rsidP="001E2D1D">
      <w:pPr>
        <w:jc w:val="center"/>
        <w:rPr>
          <w:b/>
          <w:color w:val="70AD47" w:themeColor="accent6"/>
          <w:sz w:val="40"/>
          <w:szCs w:val="40"/>
        </w:rPr>
      </w:pPr>
      <w:r w:rsidRPr="00C70083">
        <w:rPr>
          <w:b/>
          <w:noProof/>
          <w:color w:val="70AD47" w:themeColor="accent6"/>
          <w:sz w:val="40"/>
          <w:szCs w:val="4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47036F" wp14:editId="565B64DB">
                <wp:simplePos x="0" y="0"/>
                <wp:positionH relativeFrom="column">
                  <wp:posOffset>4007485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8575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6C668" w14:textId="77777777" w:rsidR="00C70083" w:rsidRPr="004C4B9E" w:rsidRDefault="00C70083" w:rsidP="00C7008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C4B9E">
                              <w:rPr>
                                <w:sz w:val="32"/>
                              </w:rPr>
                              <w:t>Scheda nr. 5/2020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7036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5.5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" fillcolor="#c5e0b3 [1305]" strokecolor="#538135 [2409]" strokeweight="1.5pt">
                <v:textbox style="mso-fit-shape-to-text:t">
                  <w:txbxContent>
                    <w:p w14:paraId="61C6C668" w14:textId="77777777" w:rsidR="00C70083" w:rsidRPr="004C4B9E" w:rsidRDefault="00C70083" w:rsidP="00C70083">
                      <w:pPr>
                        <w:jc w:val="center"/>
                        <w:rPr>
                          <w:sz w:val="32"/>
                        </w:rPr>
                      </w:pPr>
                      <w:r w:rsidRPr="004C4B9E">
                        <w:rPr>
                          <w:sz w:val="32"/>
                        </w:rPr>
                        <w:t>Scheda nr. 5/2020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31F42C" w14:textId="77777777" w:rsidR="000F6786" w:rsidRDefault="000F6786" w:rsidP="001E2D1D">
      <w:pPr>
        <w:jc w:val="center"/>
        <w:rPr>
          <w:b/>
          <w:color w:val="70AD47" w:themeColor="accent6"/>
          <w:sz w:val="40"/>
          <w:szCs w:val="40"/>
        </w:rPr>
      </w:pPr>
    </w:p>
    <w:p w14:paraId="1B711F31" w14:textId="77777777" w:rsidR="000F6786" w:rsidRDefault="000F6786" w:rsidP="001E2D1D">
      <w:pPr>
        <w:jc w:val="center"/>
        <w:rPr>
          <w:b/>
          <w:color w:val="70AD47" w:themeColor="accent6"/>
          <w:sz w:val="40"/>
          <w:szCs w:val="40"/>
        </w:rPr>
      </w:pPr>
    </w:p>
    <w:p w14:paraId="5DC66128" w14:textId="77777777" w:rsidR="00C70083" w:rsidRDefault="00C70083" w:rsidP="001E2D1D">
      <w:pPr>
        <w:jc w:val="center"/>
        <w:rPr>
          <w:b/>
          <w:color w:val="70AD47" w:themeColor="accent6"/>
          <w:sz w:val="40"/>
          <w:szCs w:val="40"/>
        </w:rPr>
      </w:pPr>
    </w:p>
    <w:p w14:paraId="1E8A2AE1" w14:textId="77777777" w:rsidR="00C70083" w:rsidRDefault="00C70083" w:rsidP="001E2D1D">
      <w:pPr>
        <w:jc w:val="center"/>
        <w:rPr>
          <w:b/>
          <w:color w:val="70AD47" w:themeColor="accent6"/>
          <w:sz w:val="40"/>
          <w:szCs w:val="40"/>
        </w:rPr>
      </w:pPr>
    </w:p>
    <w:p w14:paraId="359BAA11" w14:textId="77777777" w:rsidR="00C70083" w:rsidRDefault="00C70083" w:rsidP="001E2D1D">
      <w:pPr>
        <w:jc w:val="center"/>
        <w:rPr>
          <w:b/>
          <w:color w:val="70AD47" w:themeColor="accent6"/>
          <w:sz w:val="40"/>
          <w:szCs w:val="40"/>
        </w:rPr>
      </w:pPr>
    </w:p>
    <w:p w14:paraId="2FD82E16" w14:textId="77777777" w:rsidR="00C70083" w:rsidRDefault="00C70083" w:rsidP="001E2D1D">
      <w:pPr>
        <w:jc w:val="center"/>
        <w:rPr>
          <w:b/>
          <w:color w:val="70AD47" w:themeColor="accent6"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 wp14:anchorId="0B3913DC" wp14:editId="27BB916D">
            <wp:extent cx="3048000" cy="107227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20" cy="108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CC8A7" w14:textId="77777777" w:rsidR="00C70083" w:rsidRPr="004C4B9E" w:rsidRDefault="00C70083" w:rsidP="001E2D1D">
      <w:pPr>
        <w:jc w:val="center"/>
        <w:rPr>
          <w:b/>
          <w:color w:val="538135" w:themeColor="accent6" w:themeShade="BF"/>
          <w:sz w:val="40"/>
          <w:szCs w:val="40"/>
        </w:rPr>
      </w:pPr>
    </w:p>
    <w:p w14:paraId="4F5A6D28" w14:textId="77777777" w:rsidR="00C70083" w:rsidRDefault="00C70083" w:rsidP="001E2D1D">
      <w:pPr>
        <w:jc w:val="center"/>
        <w:rPr>
          <w:b/>
          <w:color w:val="70AD47" w:themeColor="accent6"/>
          <w:sz w:val="40"/>
          <w:szCs w:val="40"/>
        </w:rPr>
      </w:pPr>
    </w:p>
    <w:p w14:paraId="5B1A841A" w14:textId="77777777" w:rsidR="00C70083" w:rsidRDefault="00C70083" w:rsidP="001E2D1D">
      <w:pPr>
        <w:jc w:val="center"/>
        <w:rPr>
          <w:b/>
          <w:color w:val="70AD47" w:themeColor="accent6"/>
          <w:sz w:val="40"/>
          <w:szCs w:val="40"/>
        </w:rPr>
      </w:pPr>
    </w:p>
    <w:p w14:paraId="234ABADB" w14:textId="77777777" w:rsidR="00C70083" w:rsidRDefault="00C70083" w:rsidP="001E2D1D">
      <w:pPr>
        <w:jc w:val="center"/>
        <w:rPr>
          <w:b/>
          <w:color w:val="70AD47" w:themeColor="accent6"/>
          <w:sz w:val="40"/>
          <w:szCs w:val="40"/>
        </w:rPr>
      </w:pPr>
    </w:p>
    <w:p w14:paraId="04EF1C22" w14:textId="77777777" w:rsidR="00C70083" w:rsidRDefault="00C70083" w:rsidP="001E2D1D">
      <w:pPr>
        <w:jc w:val="center"/>
        <w:rPr>
          <w:b/>
          <w:color w:val="70AD47" w:themeColor="accent6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0083" w14:paraId="3DBB2C9C" w14:textId="77777777" w:rsidTr="00C70083">
        <w:tc>
          <w:tcPr>
            <w:tcW w:w="9628" w:type="dxa"/>
          </w:tcPr>
          <w:p w14:paraId="6416FD25" w14:textId="77777777" w:rsidR="00C70083" w:rsidRDefault="00C70083" w:rsidP="001E2D1D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  <w:p w14:paraId="60FA6881" w14:textId="77777777" w:rsidR="00C70083" w:rsidRPr="004C4B9E" w:rsidRDefault="00C70083" w:rsidP="001E2D1D">
            <w:pPr>
              <w:jc w:val="center"/>
              <w:rPr>
                <w:b/>
                <w:i/>
                <w:color w:val="70AD47" w:themeColor="accent6"/>
                <w:sz w:val="40"/>
                <w:szCs w:val="40"/>
              </w:rPr>
            </w:pPr>
          </w:p>
          <w:p w14:paraId="01880491" w14:textId="77777777" w:rsidR="00C70083" w:rsidRPr="004C4B9E" w:rsidRDefault="00C70083" w:rsidP="001E2D1D">
            <w:pPr>
              <w:jc w:val="center"/>
              <w:rPr>
                <w:b/>
                <w:color w:val="538135" w:themeColor="accent6" w:themeShade="BF"/>
                <w:sz w:val="72"/>
                <w:szCs w:val="40"/>
              </w:rPr>
            </w:pPr>
            <w:r w:rsidRPr="004C4B9E">
              <w:rPr>
                <w:b/>
                <w:color w:val="538135" w:themeColor="accent6" w:themeShade="BF"/>
                <w:sz w:val="72"/>
                <w:szCs w:val="40"/>
              </w:rPr>
              <w:t>LA MOBILITÀ</w:t>
            </w:r>
          </w:p>
          <w:p w14:paraId="5A23F123" w14:textId="77777777" w:rsidR="00C70083" w:rsidRPr="004C4B9E" w:rsidRDefault="00C70083" w:rsidP="001E2D1D">
            <w:pPr>
              <w:jc w:val="center"/>
              <w:rPr>
                <w:b/>
                <w:color w:val="538135" w:themeColor="accent6" w:themeShade="BF"/>
                <w:sz w:val="72"/>
                <w:szCs w:val="40"/>
              </w:rPr>
            </w:pPr>
          </w:p>
          <w:p w14:paraId="2FE6A9FA" w14:textId="77777777" w:rsidR="00C70083" w:rsidRPr="004C4B9E" w:rsidRDefault="00C70083" w:rsidP="001E2D1D">
            <w:pPr>
              <w:jc w:val="center"/>
              <w:rPr>
                <w:b/>
                <w:color w:val="538135" w:themeColor="accent6" w:themeShade="BF"/>
                <w:sz w:val="72"/>
                <w:szCs w:val="40"/>
              </w:rPr>
            </w:pPr>
            <w:r w:rsidRPr="004C4B9E">
              <w:rPr>
                <w:b/>
                <w:color w:val="538135" w:themeColor="accent6" w:themeShade="BF"/>
                <w:sz w:val="72"/>
                <w:szCs w:val="40"/>
              </w:rPr>
              <w:t>VINCOLI</w:t>
            </w:r>
          </w:p>
          <w:p w14:paraId="3F13AE18" w14:textId="77777777" w:rsidR="00C70083" w:rsidRPr="004C4B9E" w:rsidRDefault="00C70083" w:rsidP="001E2D1D">
            <w:pPr>
              <w:jc w:val="center"/>
              <w:rPr>
                <w:b/>
                <w:color w:val="538135" w:themeColor="accent6" w:themeShade="BF"/>
                <w:sz w:val="40"/>
                <w:szCs w:val="40"/>
              </w:rPr>
            </w:pPr>
          </w:p>
          <w:p w14:paraId="710A9320" w14:textId="77777777" w:rsidR="00C70083" w:rsidRDefault="00C70083" w:rsidP="001E2D1D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</w:p>
        </w:tc>
      </w:tr>
    </w:tbl>
    <w:p w14:paraId="50AB2B6C" w14:textId="77777777" w:rsidR="000F6786" w:rsidRDefault="000F6786" w:rsidP="001E2D1D">
      <w:pPr>
        <w:jc w:val="center"/>
        <w:rPr>
          <w:b/>
          <w:color w:val="70AD47" w:themeColor="accent6"/>
          <w:sz w:val="40"/>
          <w:szCs w:val="40"/>
        </w:rPr>
      </w:pPr>
    </w:p>
    <w:p w14:paraId="51ADA467" w14:textId="77777777" w:rsidR="000F6786" w:rsidRDefault="000F6786" w:rsidP="001E2D1D">
      <w:pPr>
        <w:jc w:val="center"/>
        <w:rPr>
          <w:b/>
          <w:color w:val="70AD47" w:themeColor="accent6"/>
          <w:sz w:val="40"/>
          <w:szCs w:val="40"/>
        </w:rPr>
      </w:pPr>
    </w:p>
    <w:p w14:paraId="0D88D8EA" w14:textId="77777777" w:rsidR="000F6786" w:rsidRDefault="000F6786" w:rsidP="001E2D1D">
      <w:pPr>
        <w:jc w:val="center"/>
        <w:rPr>
          <w:b/>
          <w:color w:val="70AD47" w:themeColor="accent6"/>
          <w:sz w:val="40"/>
          <w:szCs w:val="40"/>
        </w:rPr>
      </w:pPr>
    </w:p>
    <w:p w14:paraId="55F64626" w14:textId="77777777" w:rsidR="000F6786" w:rsidRDefault="000F6786" w:rsidP="001E2D1D">
      <w:pPr>
        <w:jc w:val="center"/>
        <w:rPr>
          <w:b/>
          <w:color w:val="70AD47" w:themeColor="accent6"/>
          <w:sz w:val="40"/>
          <w:szCs w:val="40"/>
        </w:rPr>
      </w:pPr>
    </w:p>
    <w:p w14:paraId="63EE0209" w14:textId="77777777" w:rsidR="000F6786" w:rsidRDefault="000F6786" w:rsidP="001E2D1D">
      <w:pPr>
        <w:jc w:val="center"/>
        <w:rPr>
          <w:b/>
          <w:color w:val="70AD47" w:themeColor="accent6"/>
          <w:sz w:val="40"/>
          <w:szCs w:val="40"/>
        </w:rPr>
      </w:pPr>
    </w:p>
    <w:p w14:paraId="3CD0F221" w14:textId="77777777" w:rsidR="000F6786" w:rsidRDefault="000F6786" w:rsidP="001E2D1D">
      <w:pPr>
        <w:jc w:val="center"/>
        <w:rPr>
          <w:b/>
          <w:color w:val="70AD47" w:themeColor="accent6"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0083" w14:paraId="253E1A89" w14:textId="77777777" w:rsidTr="00C70083">
        <w:tc>
          <w:tcPr>
            <w:tcW w:w="9628" w:type="dxa"/>
          </w:tcPr>
          <w:p w14:paraId="36E5B42E" w14:textId="77777777" w:rsidR="00C70083" w:rsidRDefault="00C70083" w:rsidP="00C70083">
            <w:pPr>
              <w:jc w:val="center"/>
              <w:rPr>
                <w:b/>
                <w:color w:val="70AD47" w:themeColor="accent6"/>
                <w:sz w:val="40"/>
                <w:szCs w:val="40"/>
              </w:rPr>
            </w:pPr>
            <w:r w:rsidRPr="004C4B9E">
              <w:rPr>
                <w:b/>
                <w:color w:val="538135" w:themeColor="accent6" w:themeShade="BF"/>
                <w:sz w:val="40"/>
                <w:szCs w:val="40"/>
              </w:rPr>
              <w:lastRenderedPageBreak/>
              <w:t>La mobilità: i vincoli</w:t>
            </w:r>
          </w:p>
        </w:tc>
      </w:tr>
    </w:tbl>
    <w:p w14:paraId="5A8CBABB" w14:textId="77777777" w:rsidR="004D3E65" w:rsidRDefault="004D3E65"/>
    <w:p w14:paraId="63E48447" w14:textId="77777777" w:rsidR="004D3E65" w:rsidRDefault="00EC5811">
      <w:r>
        <w:t>Ricordiamo che c</w:t>
      </w:r>
      <w:r w:rsidR="004D3E65">
        <w:t>on il CCNI sulla mobilità sottoscritto il 6 marzo 2019 e valido per gli anni 2019/2020, 2020/2021 e 2021/2022:</w:t>
      </w:r>
    </w:p>
    <w:p w14:paraId="50B38AA8" w14:textId="77777777" w:rsidR="000F6786" w:rsidRDefault="000F6786"/>
    <w:p w14:paraId="12DB3A55" w14:textId="77777777" w:rsidR="004D3E65" w:rsidRDefault="004D3E65" w:rsidP="004D3E65">
      <w:pPr>
        <w:pStyle w:val="Paragrafoelenco"/>
        <w:numPr>
          <w:ilvl w:val="0"/>
          <w:numId w:val="1"/>
        </w:numPr>
      </w:pPr>
      <w:r>
        <w:t xml:space="preserve">si è rimossa la </w:t>
      </w:r>
      <w:r w:rsidRPr="00EC5811">
        <w:rPr>
          <w:b/>
        </w:rPr>
        <w:t>titolarità di ambito</w:t>
      </w:r>
      <w:r>
        <w:t xml:space="preserve"> per i docenti introdotta dalla L.107/2015;</w:t>
      </w:r>
    </w:p>
    <w:p w14:paraId="7F59868C" w14:textId="77777777" w:rsidR="004D3E65" w:rsidRDefault="004D3E65" w:rsidP="004D3E65">
      <w:pPr>
        <w:pStyle w:val="Paragrafoelenco"/>
        <w:numPr>
          <w:ilvl w:val="0"/>
          <w:numId w:val="1"/>
        </w:numPr>
      </w:pPr>
      <w:r>
        <w:t xml:space="preserve">si è eliminato </w:t>
      </w:r>
      <w:r w:rsidRPr="00EC5811">
        <w:rPr>
          <w:b/>
        </w:rPr>
        <w:t>l’incarico triennale</w:t>
      </w:r>
      <w:r>
        <w:t xml:space="preserve"> per i docenti di ruolo (sempre introdotta dalla L.107/2015);</w:t>
      </w:r>
    </w:p>
    <w:p w14:paraId="288BA77D" w14:textId="77777777" w:rsidR="004D3E65" w:rsidRDefault="004D3E65" w:rsidP="004D3E65">
      <w:pPr>
        <w:pStyle w:val="Paragrafoelenco"/>
        <w:numPr>
          <w:ilvl w:val="0"/>
          <w:numId w:val="1"/>
        </w:numPr>
      </w:pPr>
      <w:r>
        <w:t xml:space="preserve">si è superato il </w:t>
      </w:r>
      <w:r w:rsidRPr="00EC5811">
        <w:rPr>
          <w:b/>
        </w:rPr>
        <w:t>vincolo triennale</w:t>
      </w:r>
      <w:r>
        <w:t xml:space="preserve"> introdotto per tutti i nuovi assunti.</w:t>
      </w:r>
    </w:p>
    <w:p w14:paraId="10A53F5A" w14:textId="77777777" w:rsidR="004D3E65" w:rsidRDefault="004D3E65"/>
    <w:p w14:paraId="2E7C2A7A" w14:textId="77777777" w:rsidR="004D3E65" w:rsidRDefault="00EC5811">
      <w:r>
        <w:t xml:space="preserve">Successivamente, la Legge di Bilancio per l’anno 2019 (L.145/2018) modificando l’art.13, comma 3, del </w:t>
      </w:r>
      <w:proofErr w:type="spellStart"/>
      <w:r>
        <w:t>D.Lgs.</w:t>
      </w:r>
      <w:proofErr w:type="spellEnd"/>
      <w:r>
        <w:t xml:space="preserve"> 59/2017 (riordino del sistema di formazione iniziale e accesso ai ruoli della scuola secondaria) ha introdotto un vincolo quinquennale per gli assunti da GMRE 2018 (ex FIT). </w:t>
      </w:r>
    </w:p>
    <w:p w14:paraId="1E234D6E" w14:textId="77777777" w:rsidR="00EE5DE1" w:rsidRDefault="00EE5DE1"/>
    <w:p w14:paraId="283C4D61" w14:textId="53280BD4" w:rsidR="008D3FE2" w:rsidRDefault="008D3FE2">
      <w:r>
        <w:t>Di seguito riportiamo, comunque, una tabella con i vincoli cui sono soggetti, a tutt’oggi, gli insegnanti</w:t>
      </w:r>
      <w:r w:rsidR="00C811DA">
        <w:t xml:space="preserve"> </w:t>
      </w:r>
      <w:r>
        <w:t xml:space="preserve"> </w:t>
      </w:r>
    </w:p>
    <w:p w14:paraId="2C714CA5" w14:textId="77777777" w:rsidR="008D3FE2" w:rsidRDefault="008D3FE2"/>
    <w:p w14:paraId="7844AB35" w14:textId="77777777" w:rsidR="00EE5DE1" w:rsidRDefault="00EE5DE1" w:rsidP="001E2D1D">
      <w:pPr>
        <w:jc w:val="center"/>
        <w:rPr>
          <w:b/>
          <w:color w:val="538135" w:themeColor="accent6" w:themeShade="BF"/>
          <w:sz w:val="32"/>
          <w:szCs w:val="32"/>
        </w:rPr>
      </w:pPr>
    </w:p>
    <w:p w14:paraId="41479A15" w14:textId="77777777" w:rsidR="00EE5DE1" w:rsidRDefault="00EE5DE1" w:rsidP="001E2D1D">
      <w:pPr>
        <w:jc w:val="center"/>
        <w:rPr>
          <w:b/>
          <w:color w:val="538135" w:themeColor="accent6" w:themeShade="BF"/>
          <w:sz w:val="32"/>
          <w:szCs w:val="32"/>
        </w:rPr>
      </w:pPr>
    </w:p>
    <w:p w14:paraId="11961795" w14:textId="7D69073D" w:rsidR="008D3FE2" w:rsidRPr="004C4B9E" w:rsidRDefault="008D3FE2" w:rsidP="001E2D1D">
      <w:pPr>
        <w:jc w:val="center"/>
        <w:rPr>
          <w:b/>
          <w:color w:val="538135" w:themeColor="accent6" w:themeShade="BF"/>
          <w:sz w:val="32"/>
          <w:szCs w:val="32"/>
        </w:rPr>
      </w:pPr>
      <w:r w:rsidRPr="004C4B9E">
        <w:rPr>
          <w:b/>
          <w:color w:val="538135" w:themeColor="accent6" w:themeShade="BF"/>
          <w:sz w:val="32"/>
          <w:szCs w:val="32"/>
        </w:rPr>
        <w:t>Scuola dell’infanzia e primaria</w:t>
      </w:r>
    </w:p>
    <w:p w14:paraId="4613671A" w14:textId="77777777" w:rsidR="004C4B9E" w:rsidRPr="001E2D1D" w:rsidRDefault="004C4B9E" w:rsidP="001E2D1D">
      <w:pPr>
        <w:jc w:val="center"/>
        <w:rPr>
          <w:b/>
          <w:color w:val="70AD47" w:themeColor="accent6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903"/>
        <w:gridCol w:w="2341"/>
        <w:gridCol w:w="2262"/>
      </w:tblGrid>
      <w:tr w:rsidR="003A1A36" w:rsidRPr="001E2D1D" w14:paraId="40502AC7" w14:textId="77777777" w:rsidTr="001E2D1D">
        <w:tc>
          <w:tcPr>
            <w:tcW w:w="2122" w:type="dxa"/>
            <w:shd w:val="clear" w:color="auto" w:fill="E7E6E6" w:themeFill="background2"/>
          </w:tcPr>
          <w:p w14:paraId="71671E38" w14:textId="77777777" w:rsidR="003A1A36" w:rsidRPr="001E2D1D" w:rsidRDefault="003A1A36" w:rsidP="001E2D1D">
            <w:pPr>
              <w:jc w:val="center"/>
              <w:rPr>
                <w:b/>
              </w:rPr>
            </w:pPr>
            <w:r w:rsidRPr="001E2D1D">
              <w:rPr>
                <w:b/>
              </w:rPr>
              <w:t>Tipo di reclutamento</w:t>
            </w:r>
          </w:p>
        </w:tc>
        <w:tc>
          <w:tcPr>
            <w:tcW w:w="2903" w:type="dxa"/>
            <w:shd w:val="clear" w:color="auto" w:fill="E7E6E6" w:themeFill="background2"/>
          </w:tcPr>
          <w:p w14:paraId="1BFF3904" w14:textId="020AAA2B" w:rsidR="003A1A36" w:rsidRPr="001E2D1D" w:rsidRDefault="0091198D" w:rsidP="001E2D1D">
            <w:pPr>
              <w:jc w:val="center"/>
              <w:rPr>
                <w:b/>
              </w:rPr>
            </w:pPr>
            <w:r>
              <w:rPr>
                <w:b/>
              </w:rPr>
              <w:t>Cosa prevede la Legge</w:t>
            </w:r>
          </w:p>
        </w:tc>
        <w:tc>
          <w:tcPr>
            <w:tcW w:w="2341" w:type="dxa"/>
            <w:shd w:val="clear" w:color="auto" w:fill="E7E6E6" w:themeFill="background2"/>
          </w:tcPr>
          <w:p w14:paraId="293B0CDF" w14:textId="77777777" w:rsidR="003A1A36" w:rsidRPr="001E2D1D" w:rsidRDefault="003A1A36" w:rsidP="001E2D1D">
            <w:pPr>
              <w:jc w:val="center"/>
              <w:rPr>
                <w:b/>
              </w:rPr>
            </w:pPr>
            <w:r w:rsidRPr="001E2D1D">
              <w:rPr>
                <w:b/>
              </w:rPr>
              <w:t>Eventuali vincoli</w:t>
            </w:r>
          </w:p>
        </w:tc>
        <w:tc>
          <w:tcPr>
            <w:tcW w:w="2262" w:type="dxa"/>
            <w:shd w:val="clear" w:color="auto" w:fill="E7E6E6" w:themeFill="background2"/>
          </w:tcPr>
          <w:p w14:paraId="59698640" w14:textId="538078D7" w:rsidR="003A1A36" w:rsidRPr="001E2D1D" w:rsidRDefault="0091198D" w:rsidP="001E2D1D">
            <w:pPr>
              <w:jc w:val="center"/>
              <w:rPr>
                <w:b/>
              </w:rPr>
            </w:pPr>
            <w:r>
              <w:rPr>
                <w:b/>
              </w:rPr>
              <w:t>Cosa prevede il CCNI</w:t>
            </w:r>
          </w:p>
        </w:tc>
      </w:tr>
      <w:tr w:rsidR="003A1A36" w14:paraId="555066B4" w14:textId="77777777" w:rsidTr="003A1A36">
        <w:tc>
          <w:tcPr>
            <w:tcW w:w="2122" w:type="dxa"/>
          </w:tcPr>
          <w:p w14:paraId="5E85F2DA" w14:textId="77777777" w:rsidR="003A1A36" w:rsidRDefault="003A1A36">
            <w:r>
              <w:t xml:space="preserve">Assunzione da </w:t>
            </w:r>
            <w:proofErr w:type="spellStart"/>
            <w:r w:rsidRPr="001E2D1D">
              <w:rPr>
                <w:b/>
              </w:rPr>
              <w:t>GaE</w:t>
            </w:r>
            <w:proofErr w:type="spellEnd"/>
          </w:p>
        </w:tc>
        <w:tc>
          <w:tcPr>
            <w:tcW w:w="2903" w:type="dxa"/>
          </w:tcPr>
          <w:p w14:paraId="53C277E0" w14:textId="77777777" w:rsidR="003A1A36" w:rsidRDefault="003A1A36">
            <w:r>
              <w:t xml:space="preserve">Art.399, comma 3 </w:t>
            </w:r>
            <w:proofErr w:type="spellStart"/>
            <w:r>
              <w:t>D.Lgs.</w:t>
            </w:r>
            <w:proofErr w:type="spellEnd"/>
            <w:r>
              <w:t xml:space="preserve"> 297/94 come modificato dalla L.128/2013</w:t>
            </w:r>
          </w:p>
        </w:tc>
        <w:tc>
          <w:tcPr>
            <w:tcW w:w="2341" w:type="dxa"/>
          </w:tcPr>
          <w:p w14:paraId="667DAEAE" w14:textId="77777777" w:rsidR="003A1A36" w:rsidRDefault="003A1A36" w:rsidP="000F6786">
            <w:pPr>
              <w:jc w:val="center"/>
            </w:pPr>
            <w:r>
              <w:t>Vincolo triennale nella provincia</w:t>
            </w:r>
          </w:p>
        </w:tc>
        <w:tc>
          <w:tcPr>
            <w:tcW w:w="2262" w:type="dxa"/>
          </w:tcPr>
          <w:p w14:paraId="7EA32F09" w14:textId="77777777" w:rsidR="003A1A36" w:rsidRDefault="003A1A36">
            <w:r>
              <w:t>Superato dal CCNI 2019/2021</w:t>
            </w:r>
          </w:p>
        </w:tc>
      </w:tr>
      <w:tr w:rsidR="003A1A36" w14:paraId="2AF4E790" w14:textId="77777777" w:rsidTr="003A1A36">
        <w:tc>
          <w:tcPr>
            <w:tcW w:w="2122" w:type="dxa"/>
          </w:tcPr>
          <w:p w14:paraId="0880D9BE" w14:textId="77777777" w:rsidR="003A1A36" w:rsidRDefault="003A1A36">
            <w:r>
              <w:t xml:space="preserve">Assunzione da </w:t>
            </w:r>
            <w:r w:rsidRPr="001E2D1D">
              <w:rPr>
                <w:b/>
              </w:rPr>
              <w:t>concorso 2016</w:t>
            </w:r>
          </w:p>
          <w:p w14:paraId="522DF30A" w14:textId="77777777" w:rsidR="003A1A36" w:rsidRDefault="003A1A36">
            <w:r>
              <w:t>(DDG 105/2016)</w:t>
            </w:r>
          </w:p>
        </w:tc>
        <w:tc>
          <w:tcPr>
            <w:tcW w:w="2903" w:type="dxa"/>
          </w:tcPr>
          <w:p w14:paraId="47D19622" w14:textId="77777777" w:rsidR="003A1A36" w:rsidRDefault="003A1A36">
            <w:r>
              <w:t>Art.10, comma 2, DDG 105/2016</w:t>
            </w:r>
          </w:p>
          <w:p w14:paraId="4E79657A" w14:textId="77777777" w:rsidR="003A1A36" w:rsidRDefault="003A1A36">
            <w:r>
              <w:t>Commi dal 79 all’82 dell’art.1 Legge 107/2015</w:t>
            </w:r>
          </w:p>
        </w:tc>
        <w:tc>
          <w:tcPr>
            <w:tcW w:w="2341" w:type="dxa"/>
          </w:tcPr>
          <w:p w14:paraId="2236CBF8" w14:textId="77777777" w:rsidR="003A1A36" w:rsidRDefault="00261DEE" w:rsidP="000F6786">
            <w:pPr>
              <w:jc w:val="center"/>
            </w:pPr>
            <w:r>
              <w:t>Incarico triennale</w:t>
            </w:r>
          </w:p>
        </w:tc>
        <w:tc>
          <w:tcPr>
            <w:tcW w:w="2262" w:type="dxa"/>
          </w:tcPr>
          <w:p w14:paraId="2B3BA9FC" w14:textId="77777777" w:rsidR="003A1A36" w:rsidRDefault="003A1A36">
            <w:r>
              <w:t>Superato dal CCNI 2019/2021</w:t>
            </w:r>
          </w:p>
        </w:tc>
      </w:tr>
      <w:tr w:rsidR="003A1A36" w14:paraId="4EA7D066" w14:textId="77777777" w:rsidTr="003A1A36">
        <w:tc>
          <w:tcPr>
            <w:tcW w:w="2122" w:type="dxa"/>
          </w:tcPr>
          <w:p w14:paraId="10644FF0" w14:textId="77777777" w:rsidR="003A1A36" w:rsidRDefault="003A1A36" w:rsidP="003A1A36">
            <w:r>
              <w:t xml:space="preserve">Assunzione da </w:t>
            </w:r>
            <w:r w:rsidRPr="001E2D1D">
              <w:rPr>
                <w:b/>
              </w:rPr>
              <w:t>concorso straordinario 2018</w:t>
            </w:r>
          </w:p>
        </w:tc>
        <w:tc>
          <w:tcPr>
            <w:tcW w:w="2903" w:type="dxa"/>
          </w:tcPr>
          <w:p w14:paraId="735B6EBE" w14:textId="77777777" w:rsidR="003A1A36" w:rsidRDefault="003A1A36">
            <w:r>
              <w:t>Art.10, comma 10 del bando</w:t>
            </w:r>
          </w:p>
          <w:p w14:paraId="15B476F2" w14:textId="77777777" w:rsidR="003A1A36" w:rsidRDefault="003A1A36">
            <w:r>
              <w:t>Art.15 comma 10 bis L.108/2013</w:t>
            </w:r>
          </w:p>
        </w:tc>
        <w:tc>
          <w:tcPr>
            <w:tcW w:w="2341" w:type="dxa"/>
          </w:tcPr>
          <w:p w14:paraId="4743E892" w14:textId="77777777" w:rsidR="003A1A36" w:rsidRDefault="003A1A36" w:rsidP="000F6786">
            <w:pPr>
              <w:jc w:val="center"/>
            </w:pPr>
            <w:r>
              <w:t>Vincolo triennale nella provincia</w:t>
            </w:r>
          </w:p>
        </w:tc>
        <w:tc>
          <w:tcPr>
            <w:tcW w:w="2262" w:type="dxa"/>
          </w:tcPr>
          <w:p w14:paraId="133E0DE5" w14:textId="77777777" w:rsidR="003A1A36" w:rsidRDefault="003A1A36">
            <w:r>
              <w:t>Superato dal CCNI 2019/2021</w:t>
            </w:r>
          </w:p>
        </w:tc>
      </w:tr>
      <w:tr w:rsidR="000C272B" w14:paraId="00F9D837" w14:textId="77777777" w:rsidTr="003A1A36">
        <w:tc>
          <w:tcPr>
            <w:tcW w:w="2122" w:type="dxa"/>
          </w:tcPr>
          <w:p w14:paraId="16F2BA77" w14:textId="77777777" w:rsidR="000C272B" w:rsidRDefault="000C272B" w:rsidP="000C272B">
            <w:r>
              <w:t xml:space="preserve">Docenti che hanno ottenuto il </w:t>
            </w:r>
            <w:r w:rsidRPr="001E2D1D">
              <w:rPr>
                <w:b/>
              </w:rPr>
              <w:t>trasferimento su preferenza analitica</w:t>
            </w:r>
            <w:r>
              <w:t xml:space="preserve"> nei movimenti per l’a.s.2019/2020</w:t>
            </w:r>
          </w:p>
        </w:tc>
        <w:tc>
          <w:tcPr>
            <w:tcW w:w="2903" w:type="dxa"/>
          </w:tcPr>
          <w:p w14:paraId="78E81FCC" w14:textId="77777777" w:rsidR="000C272B" w:rsidRDefault="000C272B" w:rsidP="000C272B">
            <w:r>
              <w:t>Art.22, comma 4, lett.a1) CCNL 2016/18</w:t>
            </w:r>
          </w:p>
          <w:p w14:paraId="7C18DAA1" w14:textId="77777777" w:rsidR="000C272B" w:rsidRDefault="000C272B" w:rsidP="000C272B">
            <w:r>
              <w:t>Art.2, comma 2 CCNI mobilità per il triennio 2019/20 – 2020/21 – 2021/22</w:t>
            </w:r>
          </w:p>
        </w:tc>
        <w:tc>
          <w:tcPr>
            <w:tcW w:w="2341" w:type="dxa"/>
          </w:tcPr>
          <w:p w14:paraId="608846B3" w14:textId="77777777" w:rsidR="000C272B" w:rsidRPr="001E2D1D" w:rsidRDefault="000C272B" w:rsidP="000F6786">
            <w:pPr>
              <w:jc w:val="center"/>
              <w:rPr>
                <w:b/>
              </w:rPr>
            </w:pPr>
            <w:r w:rsidRPr="001E2D1D">
              <w:rPr>
                <w:b/>
                <w:color w:val="FF0000"/>
              </w:rPr>
              <w:t>Vincolo triennale sulla scuola</w:t>
            </w:r>
          </w:p>
        </w:tc>
        <w:tc>
          <w:tcPr>
            <w:tcW w:w="2262" w:type="dxa"/>
          </w:tcPr>
          <w:p w14:paraId="670D36BD" w14:textId="77777777" w:rsidR="000C272B" w:rsidRDefault="000C272B" w:rsidP="000C272B"/>
        </w:tc>
      </w:tr>
      <w:tr w:rsidR="000C272B" w14:paraId="38A90F68" w14:textId="77777777" w:rsidTr="003A1A36">
        <w:tc>
          <w:tcPr>
            <w:tcW w:w="2122" w:type="dxa"/>
          </w:tcPr>
          <w:p w14:paraId="0BE86A82" w14:textId="77777777" w:rsidR="000C272B" w:rsidRPr="001E2D1D" w:rsidRDefault="001E2D1D" w:rsidP="000C272B">
            <w:pPr>
              <w:rPr>
                <w:b/>
              </w:rPr>
            </w:pPr>
            <w:r w:rsidRPr="001E2D1D">
              <w:rPr>
                <w:b/>
              </w:rPr>
              <w:t>Assunti in ruolo a partire dall’a.s.2020/2021</w:t>
            </w:r>
          </w:p>
        </w:tc>
        <w:tc>
          <w:tcPr>
            <w:tcW w:w="2903" w:type="dxa"/>
          </w:tcPr>
          <w:p w14:paraId="6E4ABD5D" w14:textId="77777777" w:rsidR="000C272B" w:rsidRDefault="001E2D1D" w:rsidP="00960F89">
            <w:pPr>
              <w:jc w:val="left"/>
            </w:pPr>
            <w:r>
              <w:t>Art.1. commi 17.1 e 17.2, Legge 159/2019 (di conversione del D.L.126/18)</w:t>
            </w:r>
          </w:p>
        </w:tc>
        <w:tc>
          <w:tcPr>
            <w:tcW w:w="2341" w:type="dxa"/>
          </w:tcPr>
          <w:p w14:paraId="444F90B5" w14:textId="77777777" w:rsidR="000C272B" w:rsidRPr="001E2D1D" w:rsidRDefault="001E2D1D" w:rsidP="000F6786">
            <w:pPr>
              <w:jc w:val="center"/>
              <w:rPr>
                <w:b/>
              </w:rPr>
            </w:pPr>
            <w:r w:rsidRPr="001E2D1D">
              <w:rPr>
                <w:b/>
                <w:color w:val="FF0000"/>
              </w:rPr>
              <w:t>Vincolo quinquennale sulla scuola</w:t>
            </w:r>
          </w:p>
        </w:tc>
        <w:tc>
          <w:tcPr>
            <w:tcW w:w="2262" w:type="dxa"/>
          </w:tcPr>
          <w:p w14:paraId="3B6F51FC" w14:textId="77777777" w:rsidR="000C272B" w:rsidRDefault="000F6786" w:rsidP="000F6786">
            <w:pPr>
              <w:jc w:val="left"/>
            </w:pPr>
            <w:r>
              <w:t>Fatte</w:t>
            </w:r>
            <w:r w:rsidR="001E2D1D">
              <w:t xml:space="preserve"> salve le situazioni di </w:t>
            </w:r>
            <w:proofErr w:type="spellStart"/>
            <w:r w:rsidR="001E2D1D">
              <w:t>soprannumerarietà</w:t>
            </w:r>
            <w:proofErr w:type="spellEnd"/>
            <w:r w:rsidR="001E2D1D">
              <w:t xml:space="preserve"> e condizioni sopravvenute  previste dalla L.104/92 </w:t>
            </w:r>
          </w:p>
        </w:tc>
      </w:tr>
    </w:tbl>
    <w:p w14:paraId="48C0E0F9" w14:textId="77777777" w:rsidR="008D3FE2" w:rsidRDefault="008D3FE2"/>
    <w:p w14:paraId="2A838248" w14:textId="77777777" w:rsidR="004F7441" w:rsidRDefault="004F7441"/>
    <w:p w14:paraId="1229C51F" w14:textId="77777777" w:rsidR="001E2D1D" w:rsidRDefault="001E2D1D"/>
    <w:p w14:paraId="677BFC3E" w14:textId="77777777" w:rsidR="00261DEE" w:rsidRPr="004C4B9E" w:rsidRDefault="00261DEE" w:rsidP="001E2D1D">
      <w:pPr>
        <w:jc w:val="center"/>
        <w:rPr>
          <w:b/>
          <w:color w:val="538135" w:themeColor="accent6" w:themeShade="BF"/>
          <w:sz w:val="32"/>
          <w:szCs w:val="32"/>
        </w:rPr>
      </w:pPr>
      <w:r w:rsidRPr="004C4B9E">
        <w:rPr>
          <w:b/>
          <w:color w:val="538135" w:themeColor="accent6" w:themeShade="BF"/>
          <w:sz w:val="32"/>
          <w:szCs w:val="32"/>
        </w:rPr>
        <w:t>Scuola secondaria (di I e II grado)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903"/>
        <w:gridCol w:w="2341"/>
        <w:gridCol w:w="2262"/>
      </w:tblGrid>
      <w:tr w:rsidR="00261DEE" w:rsidRPr="001E2D1D" w14:paraId="410CD1DB" w14:textId="77777777" w:rsidTr="001E2D1D">
        <w:tc>
          <w:tcPr>
            <w:tcW w:w="2122" w:type="dxa"/>
            <w:shd w:val="clear" w:color="auto" w:fill="E7E6E6" w:themeFill="background2"/>
          </w:tcPr>
          <w:p w14:paraId="0CA2C644" w14:textId="77777777" w:rsidR="00261DEE" w:rsidRPr="001E2D1D" w:rsidRDefault="00261DEE" w:rsidP="001E2D1D">
            <w:pPr>
              <w:jc w:val="center"/>
              <w:rPr>
                <w:b/>
              </w:rPr>
            </w:pPr>
            <w:r w:rsidRPr="001E2D1D">
              <w:rPr>
                <w:b/>
              </w:rPr>
              <w:t>Tipo di reclutamento</w:t>
            </w:r>
          </w:p>
        </w:tc>
        <w:tc>
          <w:tcPr>
            <w:tcW w:w="2903" w:type="dxa"/>
            <w:shd w:val="clear" w:color="auto" w:fill="E7E6E6" w:themeFill="background2"/>
          </w:tcPr>
          <w:p w14:paraId="5B9CD660" w14:textId="01A08C57" w:rsidR="00261DEE" w:rsidRPr="001E2D1D" w:rsidRDefault="000D0F54" w:rsidP="001E2D1D">
            <w:pPr>
              <w:jc w:val="center"/>
              <w:rPr>
                <w:b/>
              </w:rPr>
            </w:pPr>
            <w:r>
              <w:rPr>
                <w:b/>
              </w:rPr>
              <w:t>Cosa prevede la Legge</w:t>
            </w:r>
          </w:p>
        </w:tc>
        <w:tc>
          <w:tcPr>
            <w:tcW w:w="2341" w:type="dxa"/>
            <w:shd w:val="clear" w:color="auto" w:fill="E7E6E6" w:themeFill="background2"/>
          </w:tcPr>
          <w:p w14:paraId="2AD8F924" w14:textId="77777777" w:rsidR="00261DEE" w:rsidRPr="001E2D1D" w:rsidRDefault="00261DEE" w:rsidP="001E2D1D">
            <w:pPr>
              <w:jc w:val="center"/>
              <w:rPr>
                <w:b/>
              </w:rPr>
            </w:pPr>
            <w:r w:rsidRPr="001E2D1D">
              <w:rPr>
                <w:b/>
              </w:rPr>
              <w:t>Eventuali vincoli</w:t>
            </w:r>
          </w:p>
        </w:tc>
        <w:tc>
          <w:tcPr>
            <w:tcW w:w="2262" w:type="dxa"/>
            <w:shd w:val="clear" w:color="auto" w:fill="E7E6E6" w:themeFill="background2"/>
          </w:tcPr>
          <w:p w14:paraId="60DAB2DE" w14:textId="049C0485" w:rsidR="00261DEE" w:rsidRPr="001E2D1D" w:rsidRDefault="000D0F54" w:rsidP="001E2D1D">
            <w:pPr>
              <w:jc w:val="center"/>
              <w:rPr>
                <w:b/>
              </w:rPr>
            </w:pPr>
            <w:r>
              <w:rPr>
                <w:b/>
              </w:rPr>
              <w:t>Cosa prevede il CCNI</w:t>
            </w:r>
          </w:p>
        </w:tc>
      </w:tr>
      <w:tr w:rsidR="00261DEE" w14:paraId="55520808" w14:textId="77777777" w:rsidTr="00A97952">
        <w:tc>
          <w:tcPr>
            <w:tcW w:w="2122" w:type="dxa"/>
          </w:tcPr>
          <w:p w14:paraId="23DB84EB" w14:textId="77777777" w:rsidR="00261DEE" w:rsidRDefault="00261DEE" w:rsidP="000F6786">
            <w:pPr>
              <w:jc w:val="left"/>
            </w:pPr>
            <w:r>
              <w:t xml:space="preserve">Assunzione da </w:t>
            </w:r>
            <w:proofErr w:type="spellStart"/>
            <w:r w:rsidRPr="001E2D1D">
              <w:rPr>
                <w:b/>
              </w:rPr>
              <w:t>GaE</w:t>
            </w:r>
            <w:proofErr w:type="spellEnd"/>
          </w:p>
        </w:tc>
        <w:tc>
          <w:tcPr>
            <w:tcW w:w="2903" w:type="dxa"/>
          </w:tcPr>
          <w:p w14:paraId="3786F45A" w14:textId="77777777" w:rsidR="00261DEE" w:rsidRDefault="00261DEE" w:rsidP="00A97952">
            <w:r>
              <w:t xml:space="preserve">Art.399, comma 3 </w:t>
            </w:r>
            <w:proofErr w:type="spellStart"/>
            <w:r>
              <w:t>D.Lgs.</w:t>
            </w:r>
            <w:proofErr w:type="spellEnd"/>
            <w:r>
              <w:t xml:space="preserve"> 297/94 come modificato dalla L.128/2013</w:t>
            </w:r>
          </w:p>
        </w:tc>
        <w:tc>
          <w:tcPr>
            <w:tcW w:w="2341" w:type="dxa"/>
          </w:tcPr>
          <w:p w14:paraId="4F58F763" w14:textId="77777777" w:rsidR="00261DEE" w:rsidRDefault="00261DEE" w:rsidP="000F6786">
            <w:pPr>
              <w:jc w:val="center"/>
            </w:pPr>
            <w:r>
              <w:t>Vincolo triennale nella provincia</w:t>
            </w:r>
          </w:p>
        </w:tc>
        <w:tc>
          <w:tcPr>
            <w:tcW w:w="2262" w:type="dxa"/>
          </w:tcPr>
          <w:p w14:paraId="231770E0" w14:textId="77777777" w:rsidR="00261DEE" w:rsidRDefault="00261DEE" w:rsidP="00A97952">
            <w:r>
              <w:t>Superato dal CCNI 2019/2021</w:t>
            </w:r>
          </w:p>
        </w:tc>
      </w:tr>
      <w:tr w:rsidR="00261DEE" w14:paraId="0AE5759B" w14:textId="77777777" w:rsidTr="00A97952">
        <w:tc>
          <w:tcPr>
            <w:tcW w:w="2122" w:type="dxa"/>
          </w:tcPr>
          <w:p w14:paraId="470AFFC2" w14:textId="77777777" w:rsidR="00261DEE" w:rsidRDefault="00261DEE" w:rsidP="000F6786">
            <w:pPr>
              <w:jc w:val="left"/>
            </w:pPr>
            <w:r>
              <w:t xml:space="preserve">Assunzione da </w:t>
            </w:r>
            <w:r w:rsidRPr="001E2D1D">
              <w:rPr>
                <w:b/>
              </w:rPr>
              <w:t>concorso 2016</w:t>
            </w:r>
            <w:r>
              <w:t xml:space="preserve"> </w:t>
            </w:r>
          </w:p>
          <w:p w14:paraId="0C02A20D" w14:textId="77777777" w:rsidR="00261DEE" w:rsidRDefault="00261DEE" w:rsidP="000F6786">
            <w:pPr>
              <w:jc w:val="left"/>
            </w:pPr>
            <w:r>
              <w:t>(DDG 106/2016)</w:t>
            </w:r>
          </w:p>
        </w:tc>
        <w:tc>
          <w:tcPr>
            <w:tcW w:w="2903" w:type="dxa"/>
          </w:tcPr>
          <w:p w14:paraId="5C0F87C4" w14:textId="77777777" w:rsidR="00261DEE" w:rsidRDefault="00261DEE" w:rsidP="00261DEE">
            <w:r>
              <w:t>Art.10, comma 2, DDG 106/2016</w:t>
            </w:r>
          </w:p>
          <w:p w14:paraId="5AD84923" w14:textId="77777777" w:rsidR="00261DEE" w:rsidRDefault="00261DEE" w:rsidP="00261DEE">
            <w:r>
              <w:t>Commi dal 79 all’82 dell’art.1 Legge 107/2015</w:t>
            </w:r>
          </w:p>
        </w:tc>
        <w:tc>
          <w:tcPr>
            <w:tcW w:w="2341" w:type="dxa"/>
          </w:tcPr>
          <w:p w14:paraId="367AA2E0" w14:textId="77777777" w:rsidR="00261DEE" w:rsidRDefault="00261DEE" w:rsidP="000F6786">
            <w:pPr>
              <w:jc w:val="center"/>
            </w:pPr>
            <w:r>
              <w:t>Incarico triennale</w:t>
            </w:r>
          </w:p>
        </w:tc>
        <w:tc>
          <w:tcPr>
            <w:tcW w:w="2262" w:type="dxa"/>
          </w:tcPr>
          <w:p w14:paraId="19C73914" w14:textId="77777777" w:rsidR="00261DEE" w:rsidRDefault="00261DEE" w:rsidP="00261DEE">
            <w:r>
              <w:t>Superato dal CCNI 2019/2021</w:t>
            </w:r>
          </w:p>
        </w:tc>
      </w:tr>
      <w:tr w:rsidR="00261DEE" w14:paraId="060F2343" w14:textId="77777777" w:rsidTr="00A97952">
        <w:tc>
          <w:tcPr>
            <w:tcW w:w="2122" w:type="dxa"/>
          </w:tcPr>
          <w:p w14:paraId="1FDD7DC6" w14:textId="77777777" w:rsidR="00261DEE" w:rsidRDefault="00261DEE" w:rsidP="000F6786">
            <w:pPr>
              <w:jc w:val="left"/>
            </w:pPr>
            <w:r w:rsidRPr="001E2D1D">
              <w:rPr>
                <w:b/>
              </w:rPr>
              <w:t>Assunzione</w:t>
            </w:r>
            <w:r>
              <w:t xml:space="preserve"> da DDG 85/2018 (</w:t>
            </w:r>
            <w:r w:rsidRPr="001E2D1D">
              <w:rPr>
                <w:b/>
              </w:rPr>
              <w:t>FIT</w:t>
            </w:r>
            <w:r>
              <w:t>)</w:t>
            </w:r>
          </w:p>
          <w:p w14:paraId="0F2ECCD4" w14:textId="77777777" w:rsidR="000C272B" w:rsidRPr="000C272B" w:rsidRDefault="000C272B" w:rsidP="000F6786">
            <w:pPr>
              <w:jc w:val="left"/>
              <w:rPr>
                <w:b/>
              </w:rPr>
            </w:pPr>
            <w:proofErr w:type="spellStart"/>
            <w:r w:rsidRPr="000C272B">
              <w:rPr>
                <w:b/>
              </w:rPr>
              <w:t>a.s.</w:t>
            </w:r>
            <w:proofErr w:type="spellEnd"/>
            <w:r w:rsidRPr="000C272B">
              <w:rPr>
                <w:b/>
              </w:rPr>
              <w:t xml:space="preserve"> 2018/2019</w:t>
            </w:r>
          </w:p>
        </w:tc>
        <w:tc>
          <w:tcPr>
            <w:tcW w:w="2903" w:type="dxa"/>
          </w:tcPr>
          <w:p w14:paraId="1174A7D3" w14:textId="77777777" w:rsidR="00261DEE" w:rsidRDefault="00261DEE" w:rsidP="00A97952">
            <w:r>
              <w:t xml:space="preserve">Art.13, comma 3, </w:t>
            </w:r>
            <w:proofErr w:type="spellStart"/>
            <w:r>
              <w:t>D.Lgs.</w:t>
            </w:r>
            <w:proofErr w:type="spellEnd"/>
            <w:r>
              <w:t xml:space="preserve"> 59/2017 come modificato dalla L.145/2018</w:t>
            </w:r>
          </w:p>
        </w:tc>
        <w:tc>
          <w:tcPr>
            <w:tcW w:w="2341" w:type="dxa"/>
          </w:tcPr>
          <w:p w14:paraId="43571614" w14:textId="77777777" w:rsidR="00261DEE" w:rsidRDefault="00261DEE" w:rsidP="000F6786">
            <w:pPr>
              <w:jc w:val="center"/>
            </w:pPr>
            <w:r>
              <w:t>Assunti nell’a.s.2018/19 con contratti a T.D.</w:t>
            </w:r>
          </w:p>
          <w:p w14:paraId="7EF6E197" w14:textId="77777777" w:rsidR="000C272B" w:rsidRDefault="000C272B" w:rsidP="000F6786">
            <w:pPr>
              <w:jc w:val="center"/>
            </w:pPr>
            <w:r>
              <w:t>Vincolo quinquennale sulla scuola</w:t>
            </w:r>
          </w:p>
        </w:tc>
        <w:tc>
          <w:tcPr>
            <w:tcW w:w="2262" w:type="dxa"/>
          </w:tcPr>
          <w:p w14:paraId="60396660" w14:textId="77777777" w:rsidR="000C272B" w:rsidRDefault="000C272B" w:rsidP="00A97952">
            <w:r>
              <w:t>Superato dal CCNI 2019/2021</w:t>
            </w:r>
          </w:p>
          <w:p w14:paraId="151948EB" w14:textId="77777777" w:rsidR="00261DEE" w:rsidRDefault="00261DEE" w:rsidP="00A97952">
            <w:r>
              <w:t>Tali docenti, non hanno potuto presentare domanda per l’a.s.2019/20, in quanto ancora a T.D. Potranno presentare domanda per 2020/21</w:t>
            </w:r>
          </w:p>
        </w:tc>
      </w:tr>
      <w:tr w:rsidR="00261DEE" w14:paraId="0F9CB684" w14:textId="77777777" w:rsidTr="00A97952">
        <w:tc>
          <w:tcPr>
            <w:tcW w:w="2122" w:type="dxa"/>
          </w:tcPr>
          <w:p w14:paraId="0DC8642F" w14:textId="77777777" w:rsidR="00261DEE" w:rsidRDefault="00261DEE" w:rsidP="000F6786">
            <w:pPr>
              <w:jc w:val="left"/>
            </w:pPr>
            <w:r w:rsidRPr="001E2D1D">
              <w:rPr>
                <w:b/>
              </w:rPr>
              <w:t>Assunzione da</w:t>
            </w:r>
            <w:r>
              <w:t xml:space="preserve"> DDG 85/2018 (</w:t>
            </w:r>
            <w:r w:rsidRPr="001E2D1D">
              <w:rPr>
                <w:b/>
              </w:rPr>
              <w:t>FIT</w:t>
            </w:r>
            <w:r>
              <w:t>) ex DM 631/18</w:t>
            </w:r>
          </w:p>
          <w:p w14:paraId="5BB8244E" w14:textId="77777777" w:rsidR="000C272B" w:rsidRDefault="001E2D1D" w:rsidP="000F6786">
            <w:pPr>
              <w:jc w:val="left"/>
            </w:pPr>
            <w:r>
              <w:rPr>
                <w:b/>
              </w:rPr>
              <w:t>Per l’</w:t>
            </w:r>
            <w:r w:rsidR="000C272B" w:rsidRPr="000C272B">
              <w:rPr>
                <w:b/>
              </w:rPr>
              <w:t>a.s.2018/19</w:t>
            </w:r>
            <w:r w:rsidR="000C272B">
              <w:t xml:space="preserve"> con decorrenza giuridica ed economica 2019/20</w:t>
            </w:r>
          </w:p>
        </w:tc>
        <w:tc>
          <w:tcPr>
            <w:tcW w:w="2903" w:type="dxa"/>
          </w:tcPr>
          <w:p w14:paraId="4255BE3F" w14:textId="77777777" w:rsidR="00261DEE" w:rsidRDefault="00261DEE" w:rsidP="00A97952">
            <w:r>
              <w:t xml:space="preserve">Art.13, comma 3, </w:t>
            </w:r>
            <w:proofErr w:type="spellStart"/>
            <w:r>
              <w:t>D.Lgs.</w:t>
            </w:r>
            <w:proofErr w:type="spellEnd"/>
            <w:r>
              <w:t xml:space="preserve"> 59/2017 come modificato dalla L.145/2018</w:t>
            </w:r>
          </w:p>
        </w:tc>
        <w:tc>
          <w:tcPr>
            <w:tcW w:w="2341" w:type="dxa"/>
          </w:tcPr>
          <w:p w14:paraId="6E703EAA" w14:textId="435AE0DC" w:rsidR="00261DEE" w:rsidRDefault="00261DEE" w:rsidP="000F6786">
            <w:pPr>
              <w:jc w:val="center"/>
            </w:pPr>
            <w:r>
              <w:t xml:space="preserve">Assunti </w:t>
            </w:r>
            <w:r w:rsidR="000D0F54">
              <w:t xml:space="preserve">dopo l’entrata in vigore della L.145/2018, esclusi i docenti già avviati al FIT nell’anno 2018 </w:t>
            </w:r>
          </w:p>
          <w:p w14:paraId="63210068" w14:textId="77777777" w:rsidR="000C272B" w:rsidRPr="000D0F54" w:rsidRDefault="000C272B" w:rsidP="000F6786">
            <w:pPr>
              <w:jc w:val="center"/>
              <w:rPr>
                <w:b/>
                <w:bCs/>
              </w:rPr>
            </w:pPr>
            <w:r w:rsidRPr="000D0F54">
              <w:rPr>
                <w:b/>
                <w:bCs/>
                <w:color w:val="FF0000"/>
              </w:rPr>
              <w:t>Vincolo quinquennale sulla scuola</w:t>
            </w:r>
          </w:p>
        </w:tc>
        <w:tc>
          <w:tcPr>
            <w:tcW w:w="2262" w:type="dxa"/>
          </w:tcPr>
          <w:p w14:paraId="63E97E3C" w14:textId="2D38CA1B" w:rsidR="00261DEE" w:rsidRPr="000D0F54" w:rsidRDefault="000D0F54" w:rsidP="000D0F54">
            <w:r w:rsidRPr="000D0F54">
              <w:t xml:space="preserve">Il CCNI prevede l’assenza di vincoli per i docenti già avviati al FIT 2018. </w:t>
            </w:r>
            <w:r>
              <w:t>A nostro parere, come sempre sostenuto, r</w:t>
            </w:r>
            <w:r w:rsidRPr="000D0F54">
              <w:t>ientrano</w:t>
            </w:r>
            <w:r>
              <w:t xml:space="preserve"> </w:t>
            </w:r>
            <w:r w:rsidR="001E5951">
              <w:t xml:space="preserve">anche </w:t>
            </w:r>
            <w:r w:rsidRPr="000D0F54">
              <w:t>i docenti</w:t>
            </w:r>
            <w:r w:rsidR="001E5951">
              <w:t xml:space="preserve"> assunti a norma del</w:t>
            </w:r>
            <w:r w:rsidRPr="000D0F54">
              <w:t xml:space="preserve"> DM 631/2018</w:t>
            </w:r>
          </w:p>
        </w:tc>
      </w:tr>
      <w:tr w:rsidR="000C272B" w14:paraId="5ACB1071" w14:textId="77777777" w:rsidTr="00A97952">
        <w:tc>
          <w:tcPr>
            <w:tcW w:w="2122" w:type="dxa"/>
          </w:tcPr>
          <w:p w14:paraId="0A129CF4" w14:textId="77777777" w:rsidR="000C272B" w:rsidRDefault="000C272B" w:rsidP="000F6786">
            <w:pPr>
              <w:jc w:val="left"/>
            </w:pPr>
            <w:r w:rsidRPr="001E2D1D">
              <w:rPr>
                <w:b/>
              </w:rPr>
              <w:t>Assunzione da</w:t>
            </w:r>
            <w:r>
              <w:t xml:space="preserve"> DDG 85/2018 (FIT)</w:t>
            </w:r>
          </w:p>
          <w:p w14:paraId="071BFC8F" w14:textId="77777777" w:rsidR="000C272B" w:rsidRPr="000C272B" w:rsidRDefault="001E2D1D" w:rsidP="000F6786">
            <w:pPr>
              <w:jc w:val="left"/>
              <w:rPr>
                <w:b/>
              </w:rPr>
            </w:pPr>
            <w:r>
              <w:rPr>
                <w:b/>
              </w:rPr>
              <w:t>Per l’</w:t>
            </w:r>
            <w:r w:rsidR="000C272B" w:rsidRPr="000C272B">
              <w:rPr>
                <w:b/>
              </w:rPr>
              <w:t>a.s.2019/20</w:t>
            </w:r>
          </w:p>
        </w:tc>
        <w:tc>
          <w:tcPr>
            <w:tcW w:w="2903" w:type="dxa"/>
          </w:tcPr>
          <w:p w14:paraId="57B4AB1A" w14:textId="77777777" w:rsidR="000C272B" w:rsidRDefault="000C272B" w:rsidP="00A97952">
            <w:r>
              <w:t xml:space="preserve">Art.13, comma 3, </w:t>
            </w:r>
            <w:proofErr w:type="spellStart"/>
            <w:r>
              <w:t>D.Lgs.</w:t>
            </w:r>
            <w:proofErr w:type="spellEnd"/>
            <w:r>
              <w:t xml:space="preserve"> 59/2017 come modificato dalla L.145/2018</w:t>
            </w:r>
          </w:p>
        </w:tc>
        <w:tc>
          <w:tcPr>
            <w:tcW w:w="2341" w:type="dxa"/>
          </w:tcPr>
          <w:p w14:paraId="4914E447" w14:textId="77777777" w:rsidR="000C272B" w:rsidRPr="001E2D1D" w:rsidRDefault="000C272B" w:rsidP="000F6786">
            <w:pPr>
              <w:jc w:val="center"/>
              <w:rPr>
                <w:b/>
              </w:rPr>
            </w:pPr>
            <w:r w:rsidRPr="001E2D1D">
              <w:rPr>
                <w:b/>
                <w:color w:val="FF0000"/>
              </w:rPr>
              <w:t>Vincolo quinquennale sulla scuola</w:t>
            </w:r>
          </w:p>
        </w:tc>
        <w:tc>
          <w:tcPr>
            <w:tcW w:w="2262" w:type="dxa"/>
          </w:tcPr>
          <w:p w14:paraId="41865DD8" w14:textId="77777777" w:rsidR="000C272B" w:rsidRDefault="000C272B" w:rsidP="00A97952"/>
        </w:tc>
      </w:tr>
      <w:tr w:rsidR="000C272B" w14:paraId="3B20F829" w14:textId="77777777" w:rsidTr="00A97952">
        <w:tc>
          <w:tcPr>
            <w:tcW w:w="2122" w:type="dxa"/>
          </w:tcPr>
          <w:p w14:paraId="3B42AB3F" w14:textId="77777777" w:rsidR="000C272B" w:rsidRDefault="000C272B" w:rsidP="000F6786">
            <w:pPr>
              <w:jc w:val="left"/>
            </w:pPr>
            <w:r>
              <w:t xml:space="preserve">Docenti che hanno ottenuto il </w:t>
            </w:r>
            <w:r w:rsidRPr="001E2D1D">
              <w:rPr>
                <w:b/>
              </w:rPr>
              <w:t>trasferimento su preferenza analitica</w:t>
            </w:r>
            <w:r>
              <w:t xml:space="preserve"> nei movimenti per l’a.s.2019/2020</w:t>
            </w:r>
          </w:p>
        </w:tc>
        <w:tc>
          <w:tcPr>
            <w:tcW w:w="2903" w:type="dxa"/>
          </w:tcPr>
          <w:p w14:paraId="07B074D2" w14:textId="77777777" w:rsidR="000C272B" w:rsidRDefault="000C272B" w:rsidP="00A97952">
            <w:r>
              <w:t>Art.22, comma 4, lett.a1) CCNL 2016/18</w:t>
            </w:r>
          </w:p>
          <w:p w14:paraId="177E431B" w14:textId="77777777" w:rsidR="000C272B" w:rsidRDefault="000C272B" w:rsidP="00A97952">
            <w:r>
              <w:t>Art.2, comma 2 CCNI mobilità per il triennio 2019/20 – 2020/21 – 2021/22</w:t>
            </w:r>
          </w:p>
        </w:tc>
        <w:tc>
          <w:tcPr>
            <w:tcW w:w="2341" w:type="dxa"/>
          </w:tcPr>
          <w:p w14:paraId="61E119BB" w14:textId="77777777" w:rsidR="000C272B" w:rsidRPr="001E2D1D" w:rsidRDefault="000C272B" w:rsidP="000F6786">
            <w:pPr>
              <w:jc w:val="center"/>
              <w:rPr>
                <w:b/>
              </w:rPr>
            </w:pPr>
            <w:r w:rsidRPr="001E2D1D">
              <w:rPr>
                <w:b/>
                <w:color w:val="FF0000"/>
              </w:rPr>
              <w:t>Vincolo triennale sulla scuola</w:t>
            </w:r>
          </w:p>
        </w:tc>
        <w:tc>
          <w:tcPr>
            <w:tcW w:w="2262" w:type="dxa"/>
          </w:tcPr>
          <w:p w14:paraId="13A4FA3F" w14:textId="77777777" w:rsidR="000C272B" w:rsidRDefault="000C272B" w:rsidP="000C272B"/>
        </w:tc>
      </w:tr>
      <w:tr w:rsidR="000C272B" w14:paraId="17DF04C0" w14:textId="77777777" w:rsidTr="00A97952">
        <w:tc>
          <w:tcPr>
            <w:tcW w:w="2122" w:type="dxa"/>
          </w:tcPr>
          <w:p w14:paraId="7ADD1C5A" w14:textId="77777777" w:rsidR="000C272B" w:rsidRPr="001E2D1D" w:rsidRDefault="000C272B" w:rsidP="000F6786">
            <w:pPr>
              <w:jc w:val="left"/>
              <w:rPr>
                <w:b/>
              </w:rPr>
            </w:pPr>
            <w:r w:rsidRPr="001E2D1D">
              <w:rPr>
                <w:b/>
              </w:rPr>
              <w:t>Assunti in ruolo a partire dall’a.s.2020/2021</w:t>
            </w:r>
          </w:p>
        </w:tc>
        <w:tc>
          <w:tcPr>
            <w:tcW w:w="2903" w:type="dxa"/>
          </w:tcPr>
          <w:p w14:paraId="0F959246" w14:textId="77777777" w:rsidR="000C272B" w:rsidRDefault="000C272B" w:rsidP="00A97952">
            <w:r>
              <w:t>Art.1. commi 17.1 e 17.2, Legge 159/2019 (di conversione del D.L.126/18)</w:t>
            </w:r>
          </w:p>
        </w:tc>
        <w:tc>
          <w:tcPr>
            <w:tcW w:w="2341" w:type="dxa"/>
          </w:tcPr>
          <w:p w14:paraId="7819385B" w14:textId="77777777" w:rsidR="000C272B" w:rsidRPr="001E2D1D" w:rsidRDefault="000C272B" w:rsidP="000F6786">
            <w:pPr>
              <w:jc w:val="center"/>
              <w:rPr>
                <w:b/>
              </w:rPr>
            </w:pPr>
            <w:r w:rsidRPr="001E2D1D">
              <w:rPr>
                <w:b/>
                <w:color w:val="FF0000"/>
              </w:rPr>
              <w:t>Vincolo quinquennale sulla scuola</w:t>
            </w:r>
          </w:p>
        </w:tc>
        <w:tc>
          <w:tcPr>
            <w:tcW w:w="2262" w:type="dxa"/>
          </w:tcPr>
          <w:p w14:paraId="7A93EC59" w14:textId="77777777" w:rsidR="000C272B" w:rsidRDefault="001E2D1D" w:rsidP="000F6786">
            <w:pPr>
              <w:jc w:val="left"/>
            </w:pPr>
            <w:r>
              <w:t xml:space="preserve">Fatta salve le situazioni di </w:t>
            </w:r>
            <w:proofErr w:type="spellStart"/>
            <w:r>
              <w:t>soprannumerarietà</w:t>
            </w:r>
            <w:proofErr w:type="spellEnd"/>
            <w:r>
              <w:t xml:space="preserve"> e condizioni sopravvenute  previste dalla L.104/92</w:t>
            </w:r>
          </w:p>
        </w:tc>
      </w:tr>
    </w:tbl>
    <w:p w14:paraId="61C5FB4F" w14:textId="77777777" w:rsidR="00261DEE" w:rsidRDefault="00261DEE" w:rsidP="0087497F"/>
    <w:sectPr w:rsidR="00261DEE" w:rsidSect="00C70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D71D6"/>
    <w:multiLevelType w:val="hybridMultilevel"/>
    <w:tmpl w:val="C1B83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E65"/>
    <w:rsid w:val="000C272B"/>
    <w:rsid w:val="000D0F54"/>
    <w:rsid w:val="000F6786"/>
    <w:rsid w:val="0013508D"/>
    <w:rsid w:val="001E2D1D"/>
    <w:rsid w:val="001E5951"/>
    <w:rsid w:val="00261DEE"/>
    <w:rsid w:val="00342373"/>
    <w:rsid w:val="003A1A36"/>
    <w:rsid w:val="004C4B9E"/>
    <w:rsid w:val="004D3E65"/>
    <w:rsid w:val="004F7441"/>
    <w:rsid w:val="0087497F"/>
    <w:rsid w:val="0089286B"/>
    <w:rsid w:val="008D3FE2"/>
    <w:rsid w:val="0091198D"/>
    <w:rsid w:val="00960F89"/>
    <w:rsid w:val="00C70083"/>
    <w:rsid w:val="00C811DA"/>
    <w:rsid w:val="00EC5811"/>
    <w:rsid w:val="00EE5DE1"/>
    <w:rsid w:val="00FD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F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E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E6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D3E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3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7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E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E6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D3E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8D3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Attilio Varengo - Cisl Scuola</dc:creator>
  <cp:lastModifiedBy>Sorge</cp:lastModifiedBy>
  <cp:revision>2</cp:revision>
  <cp:lastPrinted>2020-02-03T09:40:00Z</cp:lastPrinted>
  <dcterms:created xsi:type="dcterms:W3CDTF">2020-03-24T10:55:00Z</dcterms:created>
  <dcterms:modified xsi:type="dcterms:W3CDTF">2020-03-24T10:55:00Z</dcterms:modified>
</cp:coreProperties>
</file>